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5F47" w:rsidRPr="005F5F47" w:rsidRDefault="005F5F47" w:rsidP="005F5F47">
      <w:pPr>
        <w:spacing w:before="100" w:beforeAutospacing="1" w:after="100" w:afterAutospacing="1" w:line="240" w:lineRule="auto"/>
        <w:jc w:val="center"/>
        <w:outlineLvl w:val="1"/>
        <w:rPr>
          <w:rFonts w:ascii="Times New Roman" w:eastAsia="Times New Roman" w:hAnsi="Times New Roman" w:cs="Times New Roman"/>
          <w:b/>
          <w:bCs/>
          <w:sz w:val="36"/>
          <w:szCs w:val="36"/>
          <w:lang w:eastAsia="en-SG"/>
        </w:rPr>
      </w:pPr>
      <w:r w:rsidRPr="005F5F47">
        <w:rPr>
          <w:rFonts w:ascii="Times New Roman" w:eastAsia="Times New Roman" w:hAnsi="Times New Roman" w:cs="Times New Roman"/>
          <w:b/>
          <w:bCs/>
          <w:sz w:val="36"/>
          <w:szCs w:val="36"/>
          <w:lang w:eastAsia="en-SG"/>
        </w:rPr>
        <w:t>EN BANC</w:t>
      </w:r>
    </w:p>
    <w:p w:rsidR="005F5F47" w:rsidRPr="005F5F47" w:rsidRDefault="005F5F47" w:rsidP="005F5F47">
      <w:pPr>
        <w:shd w:val="clear" w:color="auto" w:fill="CCCCCC"/>
        <w:spacing w:before="100" w:beforeAutospacing="1" w:after="100" w:afterAutospacing="1" w:line="240" w:lineRule="auto"/>
        <w:jc w:val="center"/>
        <w:outlineLvl w:val="1"/>
        <w:rPr>
          <w:rFonts w:ascii="Times New Roman" w:eastAsia="Times New Roman" w:hAnsi="Times New Roman" w:cs="Times New Roman"/>
          <w:b/>
          <w:bCs/>
          <w:sz w:val="36"/>
          <w:szCs w:val="36"/>
          <w:lang w:eastAsia="en-SG"/>
        </w:rPr>
      </w:pPr>
      <w:proofErr w:type="gramStart"/>
      <w:r w:rsidRPr="005F5F47">
        <w:rPr>
          <w:rFonts w:ascii="Times New Roman" w:eastAsia="Times New Roman" w:hAnsi="Times New Roman" w:cs="Times New Roman"/>
          <w:b/>
          <w:bCs/>
          <w:sz w:val="36"/>
          <w:szCs w:val="36"/>
          <w:lang w:eastAsia="en-SG"/>
        </w:rPr>
        <w:t>[ G.R</w:t>
      </w:r>
      <w:proofErr w:type="gramEnd"/>
      <w:r w:rsidRPr="005F5F47">
        <w:rPr>
          <w:rFonts w:ascii="Times New Roman" w:eastAsia="Times New Roman" w:hAnsi="Times New Roman" w:cs="Times New Roman"/>
          <w:b/>
          <w:bCs/>
          <w:sz w:val="36"/>
          <w:szCs w:val="36"/>
          <w:lang w:eastAsia="en-SG"/>
        </w:rPr>
        <w:t>. No. 227670, May 03, 2019 ]</w:t>
      </w:r>
    </w:p>
    <w:p w:rsidR="005F5F47" w:rsidRPr="005F5F47" w:rsidRDefault="005F5F47" w:rsidP="005F5F47">
      <w:pPr>
        <w:spacing w:before="100" w:beforeAutospacing="1" w:after="100" w:afterAutospacing="1" w:line="240" w:lineRule="auto"/>
        <w:jc w:val="center"/>
        <w:outlineLvl w:val="2"/>
        <w:rPr>
          <w:rFonts w:ascii="Times New Roman" w:eastAsia="Times New Roman" w:hAnsi="Times New Roman" w:cs="Times New Roman"/>
          <w:b/>
          <w:bCs/>
          <w:sz w:val="27"/>
          <w:szCs w:val="27"/>
          <w:lang w:eastAsia="en-SG"/>
        </w:rPr>
      </w:pPr>
      <w:r w:rsidRPr="005F5F47">
        <w:rPr>
          <w:rFonts w:ascii="Times New Roman" w:eastAsia="Times New Roman" w:hAnsi="Times New Roman" w:cs="Times New Roman"/>
          <w:b/>
          <w:bCs/>
          <w:sz w:val="27"/>
          <w:szCs w:val="27"/>
          <w:lang w:eastAsia="en-SG"/>
        </w:rPr>
        <w:t>ALYANSA PARA SA BAGONG PILIPINAS, INC. (ABP), REPRESENTED BY EVELYN V. JALLORINA AND NOEL VILLONES, PETITIONER, VS. ENERGY REGULATORY COMMISSION, REPRESENTED BY ITS CHAIRMAN, JOSE VICENTE B. SALAZAR, DEPARTMENT OF ENERGY, REPRESENTED BY SECRETARY ALFONSO G. CUSI, MERALCO, CENTRAL LUZON PREMIERE POWER CORPORATION, ST. RAPHAEL POWER GENERATION CORPORATION, PANAY ENERGY DEVELOPMENT CORPORATION, MARIVELES POWER GENERATION CORPORATION, GLOBAL LUZON ENERGY DEVELOPMENT CORPORATION, ATIMONAN ONE ENERGY, INC., REDONDO PENINSULA ENERGY, INC., AND PHILIPPINE COMPETITION COMMISSION, RESPONDENTS.</w:t>
      </w:r>
      <w:r w:rsidRPr="005F5F47">
        <w:rPr>
          <w:rFonts w:ascii="Times New Roman" w:eastAsia="Times New Roman" w:hAnsi="Times New Roman" w:cs="Times New Roman"/>
          <w:b/>
          <w:bCs/>
          <w:sz w:val="27"/>
          <w:szCs w:val="27"/>
          <w:lang w:eastAsia="en-SG"/>
        </w:rPr>
        <w:br/>
      </w:r>
      <w:r w:rsidRPr="005F5F47">
        <w:rPr>
          <w:rFonts w:ascii="Times New Roman" w:eastAsia="Times New Roman" w:hAnsi="Times New Roman" w:cs="Times New Roman"/>
          <w:b/>
          <w:bCs/>
          <w:sz w:val="27"/>
          <w:szCs w:val="27"/>
          <w:lang w:eastAsia="en-SG"/>
        </w:rPr>
        <w:br/>
        <w:t>D E C I S I O N</w:t>
      </w:r>
    </w:p>
    <w:p w:rsidR="005F5F47" w:rsidRPr="005F5F47" w:rsidRDefault="005F5F47" w:rsidP="005F5F47">
      <w:pPr>
        <w:spacing w:before="100" w:beforeAutospacing="1" w:after="100" w:afterAutospacing="1"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CARPIO, J.:</w:t>
      </w:r>
      <w:bookmarkStart w:id="0" w:name="_GoBack"/>
      <w:bookmarkEnd w:id="0"/>
    </w:p>
    <w:p w:rsidR="005F5F47" w:rsidRPr="005F5F47" w:rsidRDefault="005F5F47" w:rsidP="005F5F47">
      <w:pPr>
        <w:spacing w:after="24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The outcome of this case will greatly affect, for the next two decades, all consumers of electricity in the Philippines, which include the over 95 million Filipinos living in the Philippines as well as the millions of business enterprises operating in the Philippines.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Section 19, Article XII of the 1987 Constitution provides: "</w:t>
      </w:r>
      <w:r w:rsidRPr="005F5F47">
        <w:rPr>
          <w:rFonts w:ascii="Times New Roman" w:eastAsia="Times New Roman" w:hAnsi="Times New Roman" w:cs="Times New Roman"/>
          <w:b/>
          <w:bCs/>
          <w:sz w:val="24"/>
          <w:szCs w:val="24"/>
          <w:lang w:eastAsia="en-SG"/>
        </w:rPr>
        <w:t>The State shall regulate or prohibit monopolies when the public interest so requires.</w:t>
      </w:r>
      <w:r w:rsidRPr="005F5F47">
        <w:rPr>
          <w:rFonts w:ascii="Times New Roman" w:eastAsia="Times New Roman" w:hAnsi="Times New Roman" w:cs="Times New Roman"/>
          <w:sz w:val="24"/>
          <w:szCs w:val="24"/>
          <w:lang w:eastAsia="en-SG"/>
        </w:rPr>
        <w:t xml:space="preserve"> No combinations in restraint of trade or unfair competition shall be allowed."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State grants electricity distribution utilities, through legislative franchises, a regulated monopoly within their respective franchise areas. Competitors are legally barred within the franchise areas of distribution utilities. Facing no competition, distribution utilities can easily dictate the price of electricity that they charge consumers. To protect the consuming public from exorbitant or unconscionable charges by distribution utilities, the State regulates the acquisition cost of electricity that distribution utilities can pass on to consumers.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As part of its regulation of this monopoly, the State requires distribution utilities to subject to </w:t>
      </w:r>
      <w:r w:rsidRPr="005F5F47">
        <w:rPr>
          <w:rFonts w:ascii="Times New Roman" w:eastAsia="Times New Roman" w:hAnsi="Times New Roman" w:cs="Times New Roman"/>
          <w:b/>
          <w:bCs/>
          <w:sz w:val="24"/>
          <w:szCs w:val="24"/>
          <w:lang w:eastAsia="en-SG"/>
        </w:rPr>
        <w:t>competitive public bidding</w:t>
      </w:r>
      <w:r w:rsidRPr="005F5F47">
        <w:rPr>
          <w:rFonts w:ascii="Times New Roman" w:eastAsia="Times New Roman" w:hAnsi="Times New Roman" w:cs="Times New Roman"/>
          <w:sz w:val="24"/>
          <w:szCs w:val="24"/>
          <w:lang w:eastAsia="en-SG"/>
        </w:rPr>
        <w:t xml:space="preserve"> their purchases of electricity from power generating companies. Competitive public bidding is </w:t>
      </w:r>
      <w:r w:rsidRPr="005F5F47">
        <w:rPr>
          <w:rFonts w:ascii="Times New Roman" w:eastAsia="Times New Roman" w:hAnsi="Times New Roman" w:cs="Times New Roman"/>
          <w:b/>
          <w:bCs/>
          <w:sz w:val="24"/>
          <w:szCs w:val="24"/>
          <w:lang w:eastAsia="en-SG"/>
        </w:rPr>
        <w:t>essential</w:t>
      </w:r>
      <w:r w:rsidRPr="005F5F47">
        <w:rPr>
          <w:rFonts w:ascii="Times New Roman" w:eastAsia="Times New Roman" w:hAnsi="Times New Roman" w:cs="Times New Roman"/>
          <w:sz w:val="24"/>
          <w:szCs w:val="24"/>
          <w:lang w:eastAsia="en-SG"/>
        </w:rPr>
        <w:t xml:space="preserve"> since the power cost purchased by distribution utilities is entirely passed on to consumers, along with other operating expenses of distribution utilities. </w:t>
      </w:r>
      <w:r w:rsidRPr="005F5F47">
        <w:rPr>
          <w:rFonts w:ascii="Times New Roman" w:eastAsia="Times New Roman" w:hAnsi="Times New Roman" w:cs="Times New Roman"/>
          <w:b/>
          <w:bCs/>
          <w:sz w:val="24"/>
          <w:szCs w:val="24"/>
          <w:lang w:eastAsia="en-SG"/>
        </w:rPr>
        <w:t>Competitive public bidding is the most efficient, transparent, and effective guarantee that there will be no price gouging by distribution utilities.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Indeed, the requirement of competitive public bidding for power purchases of distribution utilities has been adopted in the United States, Europe, Latin America, India, and many developing countries</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1]</w:t>
      </w:r>
      <w:r w:rsidRPr="005F5F47">
        <w:rPr>
          <w:rFonts w:ascii="Times New Roman" w:eastAsia="Times New Roman" w:hAnsi="Times New Roman" w:cs="Times New Roman"/>
          <w:sz w:val="24"/>
          <w:szCs w:val="24"/>
          <w:lang w:eastAsia="en-SG"/>
        </w:rPr>
        <w:t xml:space="preserve"> This requirement is primarily aimed at ensuring a fair, reasonable, and least-cost generation charge to consumers, under a transparent power sale mechanism </w:t>
      </w:r>
      <w:r w:rsidRPr="005F5F47">
        <w:rPr>
          <w:rFonts w:ascii="Times New Roman" w:eastAsia="Times New Roman" w:hAnsi="Times New Roman" w:cs="Times New Roman"/>
          <w:sz w:val="24"/>
          <w:szCs w:val="24"/>
          <w:lang w:eastAsia="en-SG"/>
        </w:rPr>
        <w:lastRenderedPageBreak/>
        <w:t>between the generation companies and the distribution utilities.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Section 6, Article XII of the 1987 Constitution provides: "The use of property bears a social function, and all economic agents shall contribute to the common good. Individuals and private groups, including corporations, cooperatives, and similar collective organizations, shall have the right to own, establish, and operate economic enterprises, </w:t>
      </w:r>
      <w:r w:rsidRPr="005F5F47">
        <w:rPr>
          <w:rFonts w:ascii="Times New Roman" w:eastAsia="Times New Roman" w:hAnsi="Times New Roman" w:cs="Times New Roman"/>
          <w:b/>
          <w:bCs/>
          <w:sz w:val="24"/>
          <w:szCs w:val="24"/>
          <w:lang w:eastAsia="en-SG"/>
        </w:rPr>
        <w:t>subject to the duty of the State to promote distributive justice and to intervene when the common good so demands</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Indisputably, the use of electricity bears a vital social function. The State, in requiring competitive public bidding in the purchase of power by distribution utilities, has exercised its constitutional "duty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to intervene when the common good so demands."</w:t>
      </w:r>
      <w:r w:rsidRPr="005F5F47">
        <w:rPr>
          <w:rFonts w:ascii="Times New Roman" w:eastAsia="Times New Roman" w:hAnsi="Times New Roman" w:cs="Times New Roman"/>
          <w:color w:val="FF0000"/>
          <w:sz w:val="24"/>
          <w:szCs w:val="24"/>
          <w:vertAlign w:val="superscript"/>
          <w:lang w:eastAsia="en-SG"/>
        </w:rPr>
        <w:t>[2]</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breakdown of charges in a Manila Electric Company (</w:t>
      </w:r>
      <w:proofErr w:type="spellStart"/>
      <w:r w:rsidRPr="005F5F47">
        <w:rPr>
          <w:rFonts w:ascii="Times New Roman" w:eastAsia="Times New Roman" w:hAnsi="Times New Roman" w:cs="Times New Roman"/>
          <w:b/>
          <w:bCs/>
          <w:sz w:val="24"/>
          <w:szCs w:val="24"/>
          <w:lang w:eastAsia="en-SG"/>
        </w:rPr>
        <w:t>Meralco</w:t>
      </w:r>
      <w:proofErr w:type="spellEnd"/>
      <w:r w:rsidRPr="005F5F47">
        <w:rPr>
          <w:rFonts w:ascii="Times New Roman" w:eastAsia="Times New Roman" w:hAnsi="Times New Roman" w:cs="Times New Roman"/>
          <w:sz w:val="24"/>
          <w:szCs w:val="24"/>
          <w:lang w:eastAsia="en-SG"/>
        </w:rPr>
        <w:t xml:space="preserve">) bill contains the following: </w:t>
      </w:r>
      <w:r w:rsidRPr="005F5F47">
        <w:rPr>
          <w:rFonts w:ascii="Times New Roman" w:eastAsia="Times New Roman" w:hAnsi="Times New Roman" w:cs="Times New Roman"/>
          <w:b/>
          <w:bCs/>
          <w:i/>
          <w:iCs/>
          <w:sz w:val="24"/>
          <w:szCs w:val="24"/>
          <w:lang w:eastAsia="en-SG"/>
        </w:rPr>
        <w:t>Generation Charge</w:t>
      </w:r>
      <w:r w:rsidRPr="005F5F47">
        <w:rPr>
          <w:rFonts w:ascii="Times New Roman" w:eastAsia="Times New Roman" w:hAnsi="Times New Roman" w:cs="Times New Roman"/>
          <w:sz w:val="24"/>
          <w:szCs w:val="24"/>
          <w:lang w:eastAsia="en-SG"/>
        </w:rPr>
        <w:t>, Transmission Charge, System Loss Charge, Distribution Charge (</w:t>
      </w: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Subsidies, Government Taxes, Universal Charges, </w:t>
      </w:r>
      <w:proofErr w:type="spellStart"/>
      <w:r w:rsidRPr="005F5F47">
        <w:rPr>
          <w:rFonts w:ascii="Times New Roman" w:eastAsia="Times New Roman" w:hAnsi="Times New Roman" w:cs="Times New Roman"/>
          <w:sz w:val="24"/>
          <w:szCs w:val="24"/>
          <w:lang w:eastAsia="en-SG"/>
        </w:rPr>
        <w:t>FiT</w:t>
      </w:r>
      <w:proofErr w:type="spellEnd"/>
      <w:r w:rsidRPr="005F5F47">
        <w:rPr>
          <w:rFonts w:ascii="Times New Roman" w:eastAsia="Times New Roman" w:hAnsi="Times New Roman" w:cs="Times New Roman"/>
          <w:sz w:val="24"/>
          <w:szCs w:val="24"/>
          <w:lang w:eastAsia="en-SG"/>
        </w:rPr>
        <w:t xml:space="preserve">-All Charge (Renewable), and Other Charges. </w:t>
      </w:r>
      <w:r w:rsidRPr="005F5F47">
        <w:rPr>
          <w:rFonts w:ascii="Times New Roman" w:eastAsia="Times New Roman" w:hAnsi="Times New Roman" w:cs="Times New Roman"/>
          <w:b/>
          <w:bCs/>
          <w:sz w:val="24"/>
          <w:szCs w:val="24"/>
          <w:lang w:eastAsia="en-SG"/>
        </w:rPr>
        <w:t>The Power Supply Agreements (PSAs) involved in the present case were executed in April 2016 and have terms that range from 20 to 21 years.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Section 43 of Republic Act No. 9136, or the Electric Power Industry Reform Act of 2001 (</w:t>
      </w:r>
      <w:r w:rsidRPr="005F5F47">
        <w:rPr>
          <w:rFonts w:ascii="Times New Roman" w:eastAsia="Times New Roman" w:hAnsi="Times New Roman" w:cs="Times New Roman"/>
          <w:b/>
          <w:bCs/>
          <w:sz w:val="24"/>
          <w:szCs w:val="24"/>
          <w:lang w:eastAsia="en-SG"/>
        </w:rPr>
        <w:t>EPIRA</w:t>
      </w:r>
      <w:r w:rsidRPr="005F5F47">
        <w:rPr>
          <w:rFonts w:ascii="Times New Roman" w:eastAsia="Times New Roman" w:hAnsi="Times New Roman" w:cs="Times New Roman"/>
          <w:sz w:val="24"/>
          <w:szCs w:val="24"/>
          <w:lang w:eastAsia="en-SG"/>
        </w:rPr>
        <w:t>), includes a description, in broad strokes, of the functions of the Energy Regulatory Commission (</w:t>
      </w:r>
      <w:r w:rsidRPr="005F5F47">
        <w:rPr>
          <w:rFonts w:ascii="Times New Roman" w:eastAsia="Times New Roman" w:hAnsi="Times New Roman" w:cs="Times New Roman"/>
          <w:b/>
          <w:bCs/>
          <w:sz w:val="24"/>
          <w:szCs w:val="24"/>
          <w:lang w:eastAsia="en-SG"/>
        </w:rPr>
        <w:t>ERC</w:t>
      </w:r>
      <w:r w:rsidRPr="005F5F47">
        <w:rPr>
          <w:rFonts w:ascii="Times New Roman" w:eastAsia="Times New Roman" w:hAnsi="Times New Roman" w:cs="Times New Roman"/>
          <w:sz w:val="24"/>
          <w:szCs w:val="24"/>
          <w:lang w:eastAsia="en-SG"/>
        </w:rPr>
        <w:t xml:space="preserve">): "The ERC shall </w:t>
      </w:r>
      <w:r w:rsidRPr="005F5F47">
        <w:rPr>
          <w:rFonts w:ascii="Times New Roman" w:eastAsia="Times New Roman" w:hAnsi="Times New Roman" w:cs="Times New Roman"/>
          <w:b/>
          <w:bCs/>
          <w:sz w:val="24"/>
          <w:szCs w:val="24"/>
          <w:lang w:eastAsia="en-SG"/>
        </w:rPr>
        <w:t>promote competition</w:t>
      </w:r>
      <w:r w:rsidRPr="005F5F47">
        <w:rPr>
          <w:rFonts w:ascii="Times New Roman" w:eastAsia="Times New Roman" w:hAnsi="Times New Roman" w:cs="Times New Roman"/>
          <w:sz w:val="24"/>
          <w:szCs w:val="24"/>
          <w:lang w:eastAsia="en-SG"/>
        </w:rPr>
        <w:t xml:space="preserve">, encourage market development, ensure customer choice and </w:t>
      </w:r>
      <w:r w:rsidRPr="005F5F47">
        <w:rPr>
          <w:rFonts w:ascii="Times New Roman" w:eastAsia="Times New Roman" w:hAnsi="Times New Roman" w:cs="Times New Roman"/>
          <w:b/>
          <w:bCs/>
          <w:sz w:val="24"/>
          <w:szCs w:val="24"/>
          <w:lang w:eastAsia="en-SG"/>
        </w:rPr>
        <w:t>discourage/penalize abuse of market power</w:t>
      </w:r>
      <w:r w:rsidRPr="005F5F47">
        <w:rPr>
          <w:rFonts w:ascii="Times New Roman" w:eastAsia="Times New Roman" w:hAnsi="Times New Roman" w:cs="Times New Roman"/>
          <w:sz w:val="24"/>
          <w:szCs w:val="24"/>
          <w:lang w:eastAsia="en-SG"/>
        </w:rPr>
        <w:t xml:space="preserve"> in the restructured electricity industry." Moreover, Section 2 of the EPIRA declares it a state policy to "</w:t>
      </w:r>
      <w:r w:rsidRPr="005F5F47">
        <w:rPr>
          <w:rFonts w:ascii="Times New Roman" w:eastAsia="Times New Roman" w:hAnsi="Times New Roman" w:cs="Times New Roman"/>
          <w:b/>
          <w:bCs/>
          <w:sz w:val="24"/>
          <w:szCs w:val="24"/>
          <w:lang w:eastAsia="en-SG"/>
        </w:rPr>
        <w:t xml:space="preserve">ensure the x </w:t>
      </w:r>
      <w:proofErr w:type="spellStart"/>
      <w:r w:rsidRPr="005F5F47">
        <w:rPr>
          <w:rFonts w:ascii="Times New Roman" w:eastAsia="Times New Roman" w:hAnsi="Times New Roman" w:cs="Times New Roman"/>
          <w:b/>
          <w:bCs/>
          <w:sz w:val="24"/>
          <w:szCs w:val="24"/>
          <w:lang w:eastAsia="en-SG"/>
        </w:rPr>
        <w:t>x</w:t>
      </w:r>
      <w:proofErr w:type="spellEnd"/>
      <w:r w:rsidRPr="005F5F47">
        <w:rPr>
          <w:rFonts w:ascii="Times New Roman" w:eastAsia="Times New Roman" w:hAnsi="Times New Roman" w:cs="Times New Roman"/>
          <w:b/>
          <w:bCs/>
          <w:sz w:val="24"/>
          <w:szCs w:val="24"/>
          <w:lang w:eastAsia="en-SG"/>
        </w:rPr>
        <w:t xml:space="preserve"> </w:t>
      </w:r>
      <w:proofErr w:type="spellStart"/>
      <w:r w:rsidRPr="005F5F47">
        <w:rPr>
          <w:rFonts w:ascii="Times New Roman" w:eastAsia="Times New Roman" w:hAnsi="Times New Roman" w:cs="Times New Roman"/>
          <w:b/>
          <w:bCs/>
          <w:sz w:val="24"/>
          <w:szCs w:val="24"/>
          <w:lang w:eastAsia="en-SG"/>
        </w:rPr>
        <w:t>x</w:t>
      </w:r>
      <w:proofErr w:type="spellEnd"/>
      <w:r w:rsidRPr="005F5F47">
        <w:rPr>
          <w:rFonts w:ascii="Times New Roman" w:eastAsia="Times New Roman" w:hAnsi="Times New Roman" w:cs="Times New Roman"/>
          <w:b/>
          <w:bCs/>
          <w:sz w:val="24"/>
          <w:szCs w:val="24"/>
          <w:lang w:eastAsia="en-SG"/>
        </w:rPr>
        <w:t xml:space="preserve"> affordability of the supply of electric power</w:t>
      </w:r>
      <w:r w:rsidRPr="005F5F47">
        <w:rPr>
          <w:rFonts w:ascii="Times New Roman" w:eastAsia="Times New Roman" w:hAnsi="Times New Roman" w:cs="Times New Roman"/>
          <w:sz w:val="24"/>
          <w:szCs w:val="24"/>
          <w:lang w:eastAsia="en-SG"/>
        </w:rPr>
        <w:t>." Further, Section 45 of the EPIRA mandates the ERC to enforce safeguards to "</w:t>
      </w:r>
      <w:r w:rsidRPr="005F5F47">
        <w:rPr>
          <w:rFonts w:ascii="Times New Roman" w:eastAsia="Times New Roman" w:hAnsi="Times New Roman" w:cs="Times New Roman"/>
          <w:b/>
          <w:bCs/>
          <w:sz w:val="24"/>
          <w:szCs w:val="24"/>
          <w:lang w:eastAsia="en-SG"/>
        </w:rPr>
        <w:t>promote true market competition and prevent harmful monopoly and market power abuse</w:t>
      </w:r>
      <w:r w:rsidRPr="005F5F47">
        <w:rPr>
          <w:rFonts w:ascii="Times New Roman" w:eastAsia="Times New Roman" w:hAnsi="Times New Roman" w:cs="Times New Roman"/>
          <w:sz w:val="24"/>
          <w:szCs w:val="24"/>
          <w:lang w:eastAsia="en-SG"/>
        </w:rPr>
        <w:t>." If the ERC violates its statutory functions, this Court, as mandated by Section 1, Article VIII of the 1987 Constitution</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3]</w:t>
      </w:r>
      <w:r w:rsidRPr="005F5F47">
        <w:rPr>
          <w:rFonts w:ascii="Times New Roman" w:eastAsia="Times New Roman" w:hAnsi="Times New Roman" w:cs="Times New Roman"/>
          <w:sz w:val="24"/>
          <w:szCs w:val="24"/>
          <w:lang w:eastAsia="en-SG"/>
        </w:rPr>
        <w:t xml:space="preserve"> has the duty to strike down the acts of ERC whenever these are performed with grave abuse of discretion amounting to lack or excess of jurisdiction.</w:t>
      </w:r>
    </w:p>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u w:val="single"/>
          <w:lang w:eastAsia="en-SG"/>
        </w:rPr>
        <w:t>The Case</w:t>
      </w:r>
    </w:p>
    <w:p w:rsidR="005F5F47" w:rsidRPr="005F5F47" w:rsidRDefault="005F5F47" w:rsidP="005F5F47">
      <w:pPr>
        <w:spacing w:after="24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br/>
      </w:r>
      <w:proofErr w:type="spellStart"/>
      <w:r w:rsidRPr="005F5F47">
        <w:rPr>
          <w:rFonts w:ascii="Times New Roman" w:eastAsia="Times New Roman" w:hAnsi="Times New Roman" w:cs="Times New Roman"/>
          <w:sz w:val="24"/>
          <w:szCs w:val="24"/>
          <w:lang w:eastAsia="en-SG"/>
        </w:rPr>
        <w:t>Alyansa</w:t>
      </w:r>
      <w:proofErr w:type="spellEnd"/>
      <w:r w:rsidRPr="005F5F47">
        <w:rPr>
          <w:rFonts w:ascii="Times New Roman" w:eastAsia="Times New Roman" w:hAnsi="Times New Roman" w:cs="Times New Roman"/>
          <w:sz w:val="24"/>
          <w:szCs w:val="24"/>
          <w:lang w:eastAsia="en-SG"/>
        </w:rPr>
        <w:t xml:space="preserve"> para </w:t>
      </w:r>
      <w:proofErr w:type="spellStart"/>
      <w:r w:rsidRPr="005F5F47">
        <w:rPr>
          <w:rFonts w:ascii="Times New Roman" w:eastAsia="Times New Roman" w:hAnsi="Times New Roman" w:cs="Times New Roman"/>
          <w:sz w:val="24"/>
          <w:szCs w:val="24"/>
          <w:lang w:eastAsia="en-SG"/>
        </w:rPr>
        <w:t>sa</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Bagong</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Pilipinas</w:t>
      </w:r>
      <w:proofErr w:type="spellEnd"/>
      <w:r w:rsidRPr="005F5F47">
        <w:rPr>
          <w:rFonts w:ascii="Times New Roman" w:eastAsia="Times New Roman" w:hAnsi="Times New Roman" w:cs="Times New Roman"/>
          <w:sz w:val="24"/>
          <w:szCs w:val="24"/>
          <w:lang w:eastAsia="en-SG"/>
        </w:rPr>
        <w:t>, Inc. (</w:t>
      </w:r>
      <w:r w:rsidRPr="005F5F47">
        <w:rPr>
          <w:rFonts w:ascii="Times New Roman" w:eastAsia="Times New Roman" w:hAnsi="Times New Roman" w:cs="Times New Roman"/>
          <w:b/>
          <w:bCs/>
          <w:sz w:val="24"/>
          <w:szCs w:val="24"/>
          <w:lang w:eastAsia="en-SG"/>
        </w:rPr>
        <w:t>ABP</w:t>
      </w:r>
      <w:r w:rsidRPr="005F5F47">
        <w:rPr>
          <w:rFonts w:ascii="Times New Roman" w:eastAsia="Times New Roman" w:hAnsi="Times New Roman" w:cs="Times New Roman"/>
          <w:sz w:val="24"/>
          <w:szCs w:val="24"/>
          <w:lang w:eastAsia="en-SG"/>
        </w:rPr>
        <w:t xml:space="preserve">), represented by Evelyn V. </w:t>
      </w:r>
      <w:proofErr w:type="spellStart"/>
      <w:r w:rsidRPr="005F5F47">
        <w:rPr>
          <w:rFonts w:ascii="Times New Roman" w:eastAsia="Times New Roman" w:hAnsi="Times New Roman" w:cs="Times New Roman"/>
          <w:sz w:val="24"/>
          <w:szCs w:val="24"/>
          <w:lang w:eastAsia="en-SG"/>
        </w:rPr>
        <w:t>Jallorina</w:t>
      </w:r>
      <w:proofErr w:type="spellEnd"/>
      <w:r w:rsidRPr="005F5F47">
        <w:rPr>
          <w:rFonts w:ascii="Times New Roman" w:eastAsia="Times New Roman" w:hAnsi="Times New Roman" w:cs="Times New Roman"/>
          <w:sz w:val="24"/>
          <w:szCs w:val="24"/>
          <w:lang w:eastAsia="en-SG"/>
        </w:rPr>
        <w:t xml:space="preserve"> and Noel </w:t>
      </w:r>
      <w:proofErr w:type="spellStart"/>
      <w:r w:rsidRPr="005F5F47">
        <w:rPr>
          <w:rFonts w:ascii="Times New Roman" w:eastAsia="Times New Roman" w:hAnsi="Times New Roman" w:cs="Times New Roman"/>
          <w:sz w:val="24"/>
          <w:szCs w:val="24"/>
          <w:lang w:eastAsia="en-SG"/>
        </w:rPr>
        <w:t>Villones</w:t>
      </w:r>
      <w:proofErr w:type="spellEnd"/>
      <w:r w:rsidRPr="005F5F47">
        <w:rPr>
          <w:rFonts w:ascii="Times New Roman" w:eastAsia="Times New Roman" w:hAnsi="Times New Roman" w:cs="Times New Roman"/>
          <w:sz w:val="24"/>
          <w:szCs w:val="24"/>
          <w:lang w:eastAsia="en-SG"/>
        </w:rPr>
        <w:t xml:space="preserve">, filed G.R. No. 227670, a petition for </w:t>
      </w:r>
      <w:r w:rsidRPr="005F5F47">
        <w:rPr>
          <w:rFonts w:ascii="Times New Roman" w:eastAsia="Times New Roman" w:hAnsi="Times New Roman" w:cs="Times New Roman"/>
          <w:i/>
          <w:iCs/>
          <w:sz w:val="24"/>
          <w:szCs w:val="24"/>
          <w:lang w:eastAsia="en-SG"/>
        </w:rPr>
        <w:t>certiorari</w:t>
      </w:r>
      <w:r w:rsidRPr="005F5F47">
        <w:rPr>
          <w:rFonts w:ascii="Times New Roman" w:eastAsia="Times New Roman" w:hAnsi="Times New Roman" w:cs="Times New Roman"/>
          <w:sz w:val="24"/>
          <w:szCs w:val="24"/>
          <w:lang w:eastAsia="en-SG"/>
        </w:rPr>
        <w:t xml:space="preserve"> and prohibition</w:t>
      </w:r>
      <w:r w:rsidRPr="005F5F47">
        <w:rPr>
          <w:rFonts w:ascii="Times New Roman" w:eastAsia="Times New Roman" w:hAnsi="Times New Roman" w:cs="Times New Roman"/>
          <w:color w:val="FF0000"/>
          <w:sz w:val="24"/>
          <w:szCs w:val="24"/>
          <w:vertAlign w:val="superscript"/>
          <w:lang w:eastAsia="en-SG"/>
        </w:rPr>
        <w:t>[4]</w:t>
      </w:r>
      <w:r w:rsidRPr="005F5F47">
        <w:rPr>
          <w:rFonts w:ascii="Times New Roman" w:eastAsia="Times New Roman" w:hAnsi="Times New Roman" w:cs="Times New Roman"/>
          <w:sz w:val="24"/>
          <w:szCs w:val="24"/>
          <w:lang w:eastAsia="en-SG"/>
        </w:rPr>
        <w:t xml:space="preserve"> with an application for a temporary restraining order and/or writ of preliminary injunction. Named as respondents are the ERC, the Department of Energy (DOE), </w:t>
      </w: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Central Luzon Premiere Power Corporation (CLPPC), St. Raphael Power Generation Corporation (SRPGC), Panay Energy Development Corporation (PEDC), </w:t>
      </w:r>
      <w:proofErr w:type="spellStart"/>
      <w:r w:rsidRPr="005F5F47">
        <w:rPr>
          <w:rFonts w:ascii="Times New Roman" w:eastAsia="Times New Roman" w:hAnsi="Times New Roman" w:cs="Times New Roman"/>
          <w:sz w:val="24"/>
          <w:szCs w:val="24"/>
          <w:lang w:eastAsia="en-SG"/>
        </w:rPr>
        <w:t>Mariveles</w:t>
      </w:r>
      <w:proofErr w:type="spellEnd"/>
      <w:r w:rsidRPr="005F5F47">
        <w:rPr>
          <w:rFonts w:ascii="Times New Roman" w:eastAsia="Times New Roman" w:hAnsi="Times New Roman" w:cs="Times New Roman"/>
          <w:sz w:val="24"/>
          <w:szCs w:val="24"/>
          <w:lang w:eastAsia="en-SG"/>
        </w:rPr>
        <w:t xml:space="preserve"> Power Generation Corporation (MPGC), Global Luzon Energy Development Corporation (GLEDC), </w:t>
      </w:r>
      <w:proofErr w:type="spellStart"/>
      <w:r w:rsidRPr="005F5F47">
        <w:rPr>
          <w:rFonts w:ascii="Times New Roman" w:eastAsia="Times New Roman" w:hAnsi="Times New Roman" w:cs="Times New Roman"/>
          <w:sz w:val="24"/>
          <w:szCs w:val="24"/>
          <w:lang w:eastAsia="en-SG"/>
        </w:rPr>
        <w:t>Atimonan</w:t>
      </w:r>
      <w:proofErr w:type="spellEnd"/>
      <w:r w:rsidRPr="005F5F47">
        <w:rPr>
          <w:rFonts w:ascii="Times New Roman" w:eastAsia="Times New Roman" w:hAnsi="Times New Roman" w:cs="Times New Roman"/>
          <w:sz w:val="24"/>
          <w:szCs w:val="24"/>
          <w:lang w:eastAsia="en-SG"/>
        </w:rPr>
        <w:t xml:space="preserve"> One Energy, Inc. (AIE), Redondo Peninsula Energy, Inc. (RPE), and the Philippine Competition Commission (PCC).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petition seeks to declare as void ERC Resolution No. 1, Series of 2016 (</w:t>
      </w:r>
      <w:r w:rsidRPr="005F5F47">
        <w:rPr>
          <w:rFonts w:ascii="Times New Roman" w:eastAsia="Times New Roman" w:hAnsi="Times New Roman" w:cs="Times New Roman"/>
          <w:b/>
          <w:bCs/>
          <w:sz w:val="24"/>
          <w:szCs w:val="24"/>
          <w:lang w:eastAsia="en-SG"/>
        </w:rPr>
        <w:t xml:space="preserve">ERC </w:t>
      </w:r>
      <w:proofErr w:type="spellStart"/>
      <w:r w:rsidRPr="005F5F47">
        <w:rPr>
          <w:rFonts w:ascii="Times New Roman" w:eastAsia="Times New Roman" w:hAnsi="Times New Roman" w:cs="Times New Roman"/>
          <w:b/>
          <w:bCs/>
          <w:sz w:val="24"/>
          <w:szCs w:val="24"/>
          <w:lang w:eastAsia="en-SG"/>
        </w:rPr>
        <w:t>Clarificatory</w:t>
      </w:r>
      <w:proofErr w:type="spellEnd"/>
      <w:r w:rsidRPr="005F5F47">
        <w:rPr>
          <w:rFonts w:ascii="Times New Roman" w:eastAsia="Times New Roman" w:hAnsi="Times New Roman" w:cs="Times New Roman"/>
          <w:b/>
          <w:bCs/>
          <w:sz w:val="24"/>
          <w:szCs w:val="24"/>
          <w:lang w:eastAsia="en-SG"/>
        </w:rPr>
        <w:t xml:space="preserve"> Resolution</w:t>
      </w:r>
      <w:r w:rsidRPr="005F5F47">
        <w:rPr>
          <w:rFonts w:ascii="Times New Roman" w:eastAsia="Times New Roman" w:hAnsi="Times New Roman" w:cs="Times New Roman"/>
          <w:sz w:val="24"/>
          <w:szCs w:val="24"/>
          <w:lang w:eastAsia="en-SG"/>
        </w:rPr>
        <w:t>). The petition also seeks that this Court direct the ERC to disapprove the Power Supply Agreements (</w:t>
      </w:r>
      <w:r w:rsidRPr="005F5F47">
        <w:rPr>
          <w:rFonts w:ascii="Times New Roman" w:eastAsia="Times New Roman" w:hAnsi="Times New Roman" w:cs="Times New Roman"/>
          <w:b/>
          <w:bCs/>
          <w:sz w:val="24"/>
          <w:szCs w:val="24"/>
          <w:lang w:eastAsia="en-SG"/>
        </w:rPr>
        <w:t>PSAs</w:t>
      </w:r>
      <w:r w:rsidRPr="005F5F47">
        <w:rPr>
          <w:rFonts w:ascii="Times New Roman" w:eastAsia="Times New Roman" w:hAnsi="Times New Roman" w:cs="Times New Roman"/>
          <w:sz w:val="24"/>
          <w:szCs w:val="24"/>
          <w:lang w:eastAsia="en-SG"/>
        </w:rPr>
        <w:t>) of the Distribution Utilities (</w:t>
      </w:r>
      <w:r w:rsidRPr="005F5F47">
        <w:rPr>
          <w:rFonts w:ascii="Times New Roman" w:eastAsia="Times New Roman" w:hAnsi="Times New Roman" w:cs="Times New Roman"/>
          <w:b/>
          <w:bCs/>
          <w:sz w:val="24"/>
          <w:szCs w:val="24"/>
          <w:lang w:eastAsia="en-SG"/>
        </w:rPr>
        <w:t>DUs</w:t>
      </w:r>
      <w:r w:rsidRPr="005F5F47">
        <w:rPr>
          <w:rFonts w:ascii="Times New Roman" w:eastAsia="Times New Roman" w:hAnsi="Times New Roman" w:cs="Times New Roman"/>
          <w:sz w:val="24"/>
          <w:szCs w:val="24"/>
          <w:lang w:eastAsia="en-SG"/>
        </w:rPr>
        <w:t>) submitted after 7 November 2015 for failure to conduct Competitive Selection Process (</w:t>
      </w:r>
      <w:r w:rsidRPr="005F5F47">
        <w:rPr>
          <w:rFonts w:ascii="Times New Roman" w:eastAsia="Times New Roman" w:hAnsi="Times New Roman" w:cs="Times New Roman"/>
          <w:b/>
          <w:bCs/>
          <w:sz w:val="24"/>
          <w:szCs w:val="24"/>
          <w:lang w:eastAsia="en-SG"/>
        </w:rPr>
        <w:t>CSP</w:t>
      </w:r>
      <w:r w:rsidRPr="005F5F47">
        <w:rPr>
          <w:rFonts w:ascii="Times New Roman" w:eastAsia="Times New Roman" w:hAnsi="Times New Roman" w:cs="Times New Roman"/>
          <w:sz w:val="24"/>
          <w:szCs w:val="24"/>
          <w:lang w:eastAsia="en-SG"/>
        </w:rPr>
        <w:t>). The petition further asks the Court to order ERC to implement CSP in accordance with the Department of Energy (</w:t>
      </w:r>
      <w:r w:rsidRPr="005F5F47">
        <w:rPr>
          <w:rFonts w:ascii="Times New Roman" w:eastAsia="Times New Roman" w:hAnsi="Times New Roman" w:cs="Times New Roman"/>
          <w:b/>
          <w:bCs/>
          <w:sz w:val="24"/>
          <w:szCs w:val="24"/>
          <w:lang w:eastAsia="en-SG"/>
        </w:rPr>
        <w:t>DOE</w:t>
      </w:r>
      <w:r w:rsidRPr="005F5F47">
        <w:rPr>
          <w:rFonts w:ascii="Times New Roman" w:eastAsia="Times New Roman" w:hAnsi="Times New Roman" w:cs="Times New Roman"/>
          <w:sz w:val="24"/>
          <w:szCs w:val="24"/>
          <w:lang w:eastAsia="en-SG"/>
        </w:rPr>
        <w:t>) Circular No. DC2015-06-0008 (</w:t>
      </w:r>
      <w:r w:rsidRPr="005F5F47">
        <w:rPr>
          <w:rFonts w:ascii="Times New Roman" w:eastAsia="Times New Roman" w:hAnsi="Times New Roman" w:cs="Times New Roman"/>
          <w:b/>
          <w:bCs/>
          <w:sz w:val="24"/>
          <w:szCs w:val="24"/>
          <w:lang w:eastAsia="en-SG"/>
        </w:rPr>
        <w:t>2015 DOE Circular</w:t>
      </w:r>
      <w:r w:rsidRPr="005F5F47">
        <w:rPr>
          <w:rFonts w:ascii="Times New Roman" w:eastAsia="Times New Roman" w:hAnsi="Times New Roman" w:cs="Times New Roman"/>
          <w:sz w:val="24"/>
          <w:szCs w:val="24"/>
          <w:lang w:eastAsia="en-SG"/>
        </w:rPr>
        <w:t>) and ERC Resolution No. 13, Series of 2015 (</w:t>
      </w:r>
      <w:r w:rsidRPr="005F5F47">
        <w:rPr>
          <w:rFonts w:ascii="Times New Roman" w:eastAsia="Times New Roman" w:hAnsi="Times New Roman" w:cs="Times New Roman"/>
          <w:b/>
          <w:bCs/>
          <w:sz w:val="24"/>
          <w:szCs w:val="24"/>
          <w:lang w:eastAsia="en-SG"/>
        </w:rPr>
        <w:t>CSP Guidelines</w:t>
      </w:r>
      <w:r w:rsidRPr="005F5F47">
        <w:rPr>
          <w:rFonts w:ascii="Times New Roman" w:eastAsia="Times New Roman" w:hAnsi="Times New Roman" w:cs="Times New Roman"/>
          <w:sz w:val="24"/>
          <w:szCs w:val="24"/>
          <w:lang w:eastAsia="en-SG"/>
        </w:rPr>
        <w:t>)</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5]</w:t>
      </w:r>
    </w:p>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u w:val="single"/>
          <w:lang w:eastAsia="en-SG"/>
        </w:rPr>
        <w:lastRenderedPageBreak/>
        <w:t>The Facts</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br/>
        <w:t>On 11 June 2015, the DOE issued the 2015 DOE Circular entitled "</w:t>
      </w:r>
      <w:r w:rsidRPr="005F5F47">
        <w:rPr>
          <w:rFonts w:ascii="Times New Roman" w:eastAsia="Times New Roman" w:hAnsi="Times New Roman" w:cs="Times New Roman"/>
          <w:b/>
          <w:bCs/>
          <w:sz w:val="24"/>
          <w:szCs w:val="24"/>
          <w:lang w:eastAsia="en-SG"/>
        </w:rPr>
        <w:t>Mandating All Distribution Utilities to Undergo Competitive Selection Process (CSP) in Securing Power Supply Agreements (PSA)</w:t>
      </w:r>
      <w:r w:rsidRPr="005F5F47">
        <w:rPr>
          <w:rFonts w:ascii="Times New Roman" w:eastAsia="Times New Roman" w:hAnsi="Times New Roman" w:cs="Times New Roman"/>
          <w:sz w:val="24"/>
          <w:szCs w:val="24"/>
          <w:lang w:eastAsia="en-SG"/>
        </w:rPr>
        <w:t>." Sections 3 and 10 of the 2015 DOE Circular provide:</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Section 3. Standard Features in the Conduct of the CSP. After the effectivity of this Circular, all DUs shall procure PSAs only through CSP conducted through a Third Party duly recognized by the ERC and the DOE.</w:t>
      </w:r>
      <w:r w:rsidRPr="005F5F47">
        <w:rPr>
          <w:rFonts w:ascii="Times New Roman" w:eastAsia="Times New Roman" w:hAnsi="Times New Roman" w:cs="Times New Roman"/>
          <w:sz w:val="24"/>
          <w:szCs w:val="24"/>
          <w:lang w:eastAsia="en-SG"/>
        </w:rPr>
        <w:t xml:space="preserve"> In the case of [Electric Cooperatives (ECs)], the Third Party shall also be duly recognized by the National Electrification Administration (NEA).</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Under this Circular, CSPs for the procurement of PSAs of all DUs shall observe the following:</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(a) Aggregation for un-contracted demand requirements of DUs</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t>(b) Annually conducted; and</w:t>
      </w:r>
      <w:r w:rsidRPr="005F5F47">
        <w:rPr>
          <w:rFonts w:ascii="Times New Roman" w:eastAsia="Times New Roman" w:hAnsi="Times New Roman" w:cs="Times New Roman"/>
          <w:sz w:val="24"/>
          <w:szCs w:val="24"/>
          <w:lang w:eastAsia="en-SG"/>
        </w:rPr>
        <w:br/>
        <w:t>(c) Uniform template for the terms and conditions in the PSA to be issued by the ERC in coordination with the DOE.</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Within one hundred twenty (120) days from the effectivity of this Circular, the ERC and [the] DOE shall jointly issue the guidelines and procedures for the aggregation of the un-contracted demand requirements of the DUs and the process for the recognition or accreditation of the Third Party that conducts the CSP as hereto provided. For clarity, the term aggregation as used in this Circular refers to the wholesale demand and energy requirements of DUs, and not of the Contestable Markets under Retail Competition and Open Access (RCOA) regime.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As used in this section, the un-contracted demand or energy requirements of the DUs shall refer to the energy and demand not yet procured individually or collectively by the DUs, excluding those energy and capacity covered by PSAs that have been filed for approval before the ERC.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Section 10. Effectivity. </w:t>
      </w:r>
      <w:r w:rsidRPr="005F5F47">
        <w:rPr>
          <w:rFonts w:ascii="Times New Roman" w:eastAsia="Times New Roman" w:hAnsi="Times New Roman" w:cs="Times New Roman"/>
          <w:b/>
          <w:bCs/>
          <w:sz w:val="24"/>
          <w:szCs w:val="24"/>
          <w:lang w:eastAsia="en-SG"/>
        </w:rPr>
        <w:t>This Circular shall take effect immediately upon its publication</w:t>
      </w:r>
      <w:r w:rsidRPr="005F5F47">
        <w:rPr>
          <w:rFonts w:ascii="Times New Roman" w:eastAsia="Times New Roman" w:hAnsi="Times New Roman" w:cs="Times New Roman"/>
          <w:sz w:val="24"/>
          <w:szCs w:val="24"/>
          <w:lang w:eastAsia="en-SG"/>
        </w:rPr>
        <w:t xml:space="preserve"> in two (2) newspapers of general circulation and </w:t>
      </w:r>
      <w:r w:rsidRPr="005F5F47">
        <w:rPr>
          <w:rFonts w:ascii="Times New Roman" w:eastAsia="Times New Roman" w:hAnsi="Times New Roman" w:cs="Times New Roman"/>
          <w:b/>
          <w:bCs/>
          <w:sz w:val="24"/>
          <w:szCs w:val="24"/>
          <w:lang w:eastAsia="en-SG"/>
        </w:rPr>
        <w:t>shall remain in effect until otherwise revoked</w:t>
      </w:r>
      <w:r w:rsidRPr="005F5F47">
        <w:rPr>
          <w:rFonts w:ascii="Times New Roman" w:eastAsia="Times New Roman" w:hAnsi="Times New Roman" w:cs="Times New Roman"/>
          <w:sz w:val="24"/>
          <w:szCs w:val="24"/>
          <w:lang w:eastAsia="en-SG"/>
        </w:rPr>
        <w:t>. (Boldfacing added)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Section 3 of the 2015 DOE Circular expressly and categorically mandates CSP, or competitive public bidding, whenever DUs secure PSAs. The 2015 DOE Circular took effect on 30 June 2015 upon its publication in two newspapers of general circulation. Section 3 expressly states that "</w:t>
      </w:r>
      <w:r w:rsidRPr="005F5F47">
        <w:rPr>
          <w:rFonts w:ascii="Times New Roman" w:eastAsia="Times New Roman" w:hAnsi="Times New Roman" w:cs="Times New Roman"/>
          <w:b/>
          <w:bCs/>
          <w:i/>
          <w:iCs/>
          <w:sz w:val="24"/>
          <w:szCs w:val="24"/>
          <w:lang w:eastAsia="en-SG"/>
        </w:rPr>
        <w:t>[a]</w:t>
      </w:r>
      <w:proofErr w:type="spellStart"/>
      <w:r w:rsidRPr="005F5F47">
        <w:rPr>
          <w:rFonts w:ascii="Times New Roman" w:eastAsia="Times New Roman" w:hAnsi="Times New Roman" w:cs="Times New Roman"/>
          <w:b/>
          <w:bCs/>
          <w:i/>
          <w:iCs/>
          <w:sz w:val="24"/>
          <w:szCs w:val="24"/>
          <w:lang w:eastAsia="en-SG"/>
        </w:rPr>
        <w:t>fter</w:t>
      </w:r>
      <w:proofErr w:type="spellEnd"/>
      <w:r w:rsidRPr="005F5F47">
        <w:rPr>
          <w:rFonts w:ascii="Times New Roman" w:eastAsia="Times New Roman" w:hAnsi="Times New Roman" w:cs="Times New Roman"/>
          <w:b/>
          <w:bCs/>
          <w:i/>
          <w:iCs/>
          <w:sz w:val="24"/>
          <w:szCs w:val="24"/>
          <w:lang w:eastAsia="en-SG"/>
        </w:rPr>
        <w:t xml:space="preserve"> the effectivity of this Circular, all DUs shall procure PSAs only through CSP x </w:t>
      </w:r>
      <w:proofErr w:type="spellStart"/>
      <w:r w:rsidRPr="005F5F47">
        <w:rPr>
          <w:rFonts w:ascii="Times New Roman" w:eastAsia="Times New Roman" w:hAnsi="Times New Roman" w:cs="Times New Roman"/>
          <w:b/>
          <w:bCs/>
          <w:i/>
          <w:iCs/>
          <w:sz w:val="24"/>
          <w:szCs w:val="24"/>
          <w:lang w:eastAsia="en-SG"/>
        </w:rPr>
        <w:t>x</w:t>
      </w:r>
      <w:proofErr w:type="spellEnd"/>
      <w:r w:rsidRPr="005F5F47">
        <w:rPr>
          <w:rFonts w:ascii="Times New Roman" w:eastAsia="Times New Roman" w:hAnsi="Times New Roman" w:cs="Times New Roman"/>
          <w:b/>
          <w:bCs/>
          <w:i/>
          <w:iCs/>
          <w:sz w:val="24"/>
          <w:szCs w:val="24"/>
          <w:lang w:eastAsia="en-SG"/>
        </w:rPr>
        <w:t xml:space="preserve"> </w:t>
      </w:r>
      <w:proofErr w:type="spellStart"/>
      <w:r w:rsidRPr="005F5F47">
        <w:rPr>
          <w:rFonts w:ascii="Times New Roman" w:eastAsia="Times New Roman" w:hAnsi="Times New Roman" w:cs="Times New Roman"/>
          <w:b/>
          <w:bCs/>
          <w:i/>
          <w:iCs/>
          <w:sz w:val="24"/>
          <w:szCs w:val="24"/>
          <w:lang w:eastAsia="en-SG"/>
        </w:rPr>
        <w:t>x</w:t>
      </w:r>
      <w:proofErr w:type="spellEnd"/>
      <w:r w:rsidRPr="005F5F47">
        <w:rPr>
          <w:rFonts w:ascii="Times New Roman" w:eastAsia="Times New Roman" w:hAnsi="Times New Roman" w:cs="Times New Roman"/>
          <w:b/>
          <w:bCs/>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On 20 October 2015, Joint Resolution No. 1 (</w:t>
      </w:r>
      <w:r w:rsidRPr="005F5F47">
        <w:rPr>
          <w:rFonts w:ascii="Times New Roman" w:eastAsia="Times New Roman" w:hAnsi="Times New Roman" w:cs="Times New Roman"/>
          <w:b/>
          <w:bCs/>
          <w:sz w:val="24"/>
          <w:szCs w:val="24"/>
          <w:lang w:eastAsia="en-SG"/>
        </w:rPr>
        <w:t>Joint Resolution</w:t>
      </w:r>
      <w:r w:rsidRPr="005F5F47">
        <w:rPr>
          <w:rFonts w:ascii="Times New Roman" w:eastAsia="Times New Roman" w:hAnsi="Times New Roman" w:cs="Times New Roman"/>
          <w:sz w:val="24"/>
          <w:szCs w:val="24"/>
          <w:lang w:eastAsia="en-SG"/>
        </w:rPr>
        <w:t>), executed by the DOE and the ERC, reiterated the need to adopt a "</w:t>
      </w:r>
      <w:r w:rsidRPr="005F5F47">
        <w:rPr>
          <w:rFonts w:ascii="Times New Roman" w:eastAsia="Times New Roman" w:hAnsi="Times New Roman" w:cs="Times New Roman"/>
          <w:b/>
          <w:bCs/>
          <w:sz w:val="24"/>
          <w:szCs w:val="24"/>
          <w:lang w:eastAsia="en-SG"/>
        </w:rPr>
        <w:t>regime of transparent process in securing Power Supply Agreements</w:t>
      </w:r>
      <w:r w:rsidRPr="005F5F47">
        <w:rPr>
          <w:rFonts w:ascii="Times New Roman" w:eastAsia="Times New Roman" w:hAnsi="Times New Roman" w:cs="Times New Roman"/>
          <w:sz w:val="24"/>
          <w:szCs w:val="24"/>
          <w:lang w:eastAsia="en-SG"/>
        </w:rPr>
        <w:t xml:space="preserve">." The fifth </w:t>
      </w:r>
      <w:proofErr w:type="gramStart"/>
      <w:r w:rsidRPr="005F5F47">
        <w:rPr>
          <w:rFonts w:ascii="Times New Roman" w:eastAsia="Times New Roman" w:hAnsi="Times New Roman" w:cs="Times New Roman"/>
          <w:sz w:val="24"/>
          <w:szCs w:val="24"/>
          <w:lang w:eastAsia="en-SG"/>
        </w:rPr>
        <w:t>Whereas</w:t>
      </w:r>
      <w:proofErr w:type="gramEnd"/>
      <w:r w:rsidRPr="005F5F47">
        <w:rPr>
          <w:rFonts w:ascii="Times New Roman" w:eastAsia="Times New Roman" w:hAnsi="Times New Roman" w:cs="Times New Roman"/>
          <w:sz w:val="24"/>
          <w:szCs w:val="24"/>
          <w:lang w:eastAsia="en-SG"/>
        </w:rPr>
        <w:t xml:space="preserve"> clause of the Joint Resolution provides: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WHEREAS, the DOE and ERC recognize the adoption of competitive selection as a policy that will encourage investments in the power generation business thereby ensuring electric power supply availability in </w:t>
      </w:r>
      <w:r w:rsidRPr="005F5F47">
        <w:rPr>
          <w:rFonts w:ascii="Times New Roman" w:eastAsia="Times New Roman" w:hAnsi="Times New Roman" w:cs="Times New Roman"/>
          <w:b/>
          <w:bCs/>
          <w:sz w:val="24"/>
          <w:szCs w:val="24"/>
          <w:lang w:eastAsia="en-SG"/>
        </w:rPr>
        <w:t>a regime of transparent process in securing Power Supply Agreements</w:t>
      </w:r>
      <w:r w:rsidRPr="005F5F47">
        <w:rPr>
          <w:rFonts w:ascii="Times New Roman" w:eastAsia="Times New Roman" w:hAnsi="Times New Roman" w:cs="Times New Roman"/>
          <w:sz w:val="24"/>
          <w:szCs w:val="24"/>
          <w:lang w:eastAsia="en-SG"/>
        </w:rPr>
        <w:t xml:space="preserve"> (PSAs), which is an integral part of the power sector reform agenda. (Boldfacing added)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lastRenderedPageBreak/>
        <w:t xml:space="preserve">Under the Joint Resolution, the DOE and the ERC agreed that ERC shall issue the appropriate regulation </w:t>
      </w:r>
      <w:r w:rsidRPr="005F5F47">
        <w:rPr>
          <w:rFonts w:ascii="Times New Roman" w:eastAsia="Times New Roman" w:hAnsi="Times New Roman" w:cs="Times New Roman"/>
          <w:b/>
          <w:bCs/>
          <w:sz w:val="24"/>
          <w:szCs w:val="24"/>
          <w:lang w:eastAsia="en-SG"/>
        </w:rPr>
        <w:t>to implement</w:t>
      </w:r>
      <w:r w:rsidRPr="005F5F47">
        <w:rPr>
          <w:rFonts w:ascii="Times New Roman" w:eastAsia="Times New Roman" w:hAnsi="Times New Roman" w:cs="Times New Roman"/>
          <w:sz w:val="24"/>
          <w:szCs w:val="24"/>
          <w:lang w:eastAsia="en-SG"/>
        </w:rPr>
        <w:t xml:space="preserve"> CSP. Section 1 of the Joint Resolution states: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Section 1. Competitive Selection Process. </w:t>
      </w:r>
      <w:r w:rsidRPr="005F5F47">
        <w:rPr>
          <w:rFonts w:ascii="Times New Roman" w:eastAsia="Times New Roman" w:hAnsi="Times New Roman" w:cs="Times New Roman"/>
          <w:b/>
          <w:bCs/>
          <w:sz w:val="24"/>
          <w:szCs w:val="24"/>
          <w:lang w:eastAsia="en-SG"/>
        </w:rPr>
        <w:t>Consistent with their respective mandates</w:t>
      </w:r>
      <w:r w:rsidRPr="005F5F47">
        <w:rPr>
          <w:rFonts w:ascii="Times New Roman" w:eastAsia="Times New Roman" w:hAnsi="Times New Roman" w:cs="Times New Roman"/>
          <w:sz w:val="24"/>
          <w:szCs w:val="24"/>
          <w:lang w:eastAsia="en-SG"/>
        </w:rPr>
        <w:t xml:space="preserve">, the DOE and ERC recognize that Competitive Selection Process (CSP) in the procurement of Power Supply Agreements (PSAs) by the DUs engenders transparency, enhances security of supply, and ensures stability of electricity prices to captive electricity end-users in the long-term. </w:t>
      </w:r>
      <w:r w:rsidRPr="005F5F47">
        <w:rPr>
          <w:rFonts w:ascii="Times New Roman" w:eastAsia="Times New Roman" w:hAnsi="Times New Roman" w:cs="Times New Roman"/>
          <w:b/>
          <w:bCs/>
          <w:sz w:val="24"/>
          <w:szCs w:val="24"/>
          <w:lang w:eastAsia="en-SG"/>
        </w:rPr>
        <w:t xml:space="preserve">Consequently, by agreement of the DOE and ERC, the ERC shall issue the appropriate regulation to </w:t>
      </w:r>
      <w:r w:rsidRPr="005F5F47">
        <w:rPr>
          <w:rFonts w:ascii="Times New Roman" w:eastAsia="Times New Roman" w:hAnsi="Times New Roman" w:cs="Times New Roman"/>
          <w:b/>
          <w:bCs/>
          <w:i/>
          <w:iCs/>
          <w:sz w:val="24"/>
          <w:szCs w:val="24"/>
          <w:lang w:eastAsia="en-SG"/>
        </w:rPr>
        <w:t>implement</w:t>
      </w:r>
      <w:r w:rsidRPr="005F5F47">
        <w:rPr>
          <w:rFonts w:ascii="Times New Roman" w:eastAsia="Times New Roman" w:hAnsi="Times New Roman" w:cs="Times New Roman"/>
          <w:b/>
          <w:bCs/>
          <w:sz w:val="24"/>
          <w:szCs w:val="24"/>
          <w:lang w:eastAsia="en-SG"/>
        </w:rPr>
        <w:t xml:space="preserve"> the same.</w:t>
      </w:r>
      <w:r w:rsidRPr="005F5F47">
        <w:rPr>
          <w:rFonts w:ascii="Times New Roman" w:eastAsia="Times New Roman" w:hAnsi="Times New Roman" w:cs="Times New Roman"/>
          <w:sz w:val="24"/>
          <w:szCs w:val="24"/>
          <w:lang w:eastAsia="en-SG"/>
        </w:rPr>
        <w:t xml:space="preserve"> (Boldfacing and italicization added)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On the same date, 20 October 2015, the ERC issued the CSP Guidelines, which directed all DUs to conduct CSP in the procurement of their power supply for their captive markets.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CSP Guidelines fixed a new date of effectivity for compliance with CSP. This is the first instance that the ERC unilaterally fixed a different date from 30 June 2015, </w:t>
      </w:r>
      <w:r w:rsidRPr="005F5F47">
        <w:rPr>
          <w:rFonts w:ascii="Times New Roman" w:eastAsia="Times New Roman" w:hAnsi="Times New Roman" w:cs="Times New Roman"/>
          <w:b/>
          <w:bCs/>
          <w:sz w:val="24"/>
          <w:szCs w:val="24"/>
          <w:lang w:eastAsia="en-SG"/>
        </w:rPr>
        <w:t>effectively postponing the date of effectivity of CSP from 30 June 2015 to 7 November 2015 or by 130 days</w:t>
      </w:r>
      <w:r w:rsidRPr="005F5F47">
        <w:rPr>
          <w:rFonts w:ascii="Times New Roman" w:eastAsia="Times New Roman" w:hAnsi="Times New Roman" w:cs="Times New Roman"/>
          <w:sz w:val="24"/>
          <w:szCs w:val="24"/>
          <w:lang w:eastAsia="en-SG"/>
        </w:rPr>
        <w:t>:</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 xml:space="preserve">Section 4. Applicability. The CSP requirement herein mandated shall not apply to PSAs already filed with the ERC </w:t>
      </w:r>
      <w:r w:rsidRPr="005F5F47">
        <w:rPr>
          <w:rFonts w:ascii="Times New Roman" w:eastAsia="Times New Roman" w:hAnsi="Times New Roman" w:cs="Times New Roman"/>
          <w:b/>
          <w:bCs/>
          <w:i/>
          <w:iCs/>
          <w:sz w:val="24"/>
          <w:szCs w:val="24"/>
          <w:lang w:eastAsia="en-SG"/>
        </w:rPr>
        <w:t>as of the effectivity of this Resolution</w:t>
      </w:r>
      <w:r w:rsidRPr="005F5F47">
        <w:rPr>
          <w:rFonts w:ascii="Times New Roman" w:eastAsia="Times New Roman" w:hAnsi="Times New Roman" w:cs="Times New Roman"/>
          <w:b/>
          <w:bCs/>
          <w:sz w:val="24"/>
          <w:szCs w:val="24"/>
          <w:lang w:eastAsia="en-SG"/>
        </w:rPr>
        <w:t>. For PSAs already executed but are not yet filed or for those that are still in the process of negotiation, the concerned DUs are directed to comply with the CSP requirement before their PSA applications will be accepted by the ERC.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This Resolution shall take effect immediately following its publication in a newspaper of general circulation in the Philippines.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(Boldfacing and italicization added)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Based on its provisions, the CSP Guidelines took effect on 7 November 2015, following its publication in the </w:t>
      </w:r>
      <w:r w:rsidRPr="005F5F47">
        <w:rPr>
          <w:rFonts w:ascii="Times New Roman" w:eastAsia="Times New Roman" w:hAnsi="Times New Roman" w:cs="Times New Roman"/>
          <w:i/>
          <w:iCs/>
          <w:sz w:val="24"/>
          <w:szCs w:val="24"/>
          <w:lang w:eastAsia="en-SG"/>
        </w:rPr>
        <w:t>Philippine Daily Inquirer</w:t>
      </w:r>
      <w:r w:rsidRPr="005F5F47">
        <w:rPr>
          <w:rFonts w:ascii="Times New Roman" w:eastAsia="Times New Roman" w:hAnsi="Times New Roman" w:cs="Times New Roman"/>
          <w:sz w:val="24"/>
          <w:szCs w:val="24"/>
          <w:lang w:eastAsia="en-SG"/>
        </w:rPr>
        <w:t xml:space="preserve"> and the </w:t>
      </w:r>
      <w:r w:rsidRPr="005F5F47">
        <w:rPr>
          <w:rFonts w:ascii="Times New Roman" w:eastAsia="Times New Roman" w:hAnsi="Times New Roman" w:cs="Times New Roman"/>
          <w:i/>
          <w:iCs/>
          <w:sz w:val="24"/>
          <w:szCs w:val="24"/>
          <w:lang w:eastAsia="en-SG"/>
        </w:rPr>
        <w:t>Philippine Star</w:t>
      </w:r>
      <w:r w:rsidRPr="005F5F47">
        <w:rPr>
          <w:rFonts w:ascii="Times New Roman" w:eastAsia="Times New Roman" w:hAnsi="Times New Roman" w:cs="Times New Roman"/>
          <w:sz w:val="24"/>
          <w:szCs w:val="24"/>
          <w:lang w:eastAsia="en-SG"/>
        </w:rPr>
        <w:t>. Section 4 of the CSP Guidelines expressly provides that CSP "</w:t>
      </w:r>
      <w:r w:rsidRPr="005F5F47">
        <w:rPr>
          <w:rFonts w:ascii="Times New Roman" w:eastAsia="Times New Roman" w:hAnsi="Times New Roman" w:cs="Times New Roman"/>
          <w:b/>
          <w:bCs/>
          <w:sz w:val="24"/>
          <w:szCs w:val="24"/>
          <w:lang w:eastAsia="en-SG"/>
        </w:rPr>
        <w:t xml:space="preserve">shall not apply to PSAs already filed with the ERC </w:t>
      </w:r>
      <w:r w:rsidRPr="005F5F47">
        <w:rPr>
          <w:rFonts w:ascii="Times New Roman" w:eastAsia="Times New Roman" w:hAnsi="Times New Roman" w:cs="Times New Roman"/>
          <w:b/>
          <w:bCs/>
          <w:i/>
          <w:iCs/>
          <w:sz w:val="24"/>
          <w:szCs w:val="24"/>
          <w:lang w:eastAsia="en-SG"/>
        </w:rPr>
        <w:t>as of the effectivity of this Resolution</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lang w:eastAsia="en-SG"/>
        </w:rPr>
        <w:t>Thus, the ERC no longer required CSP for all PSAs already filed with the ERC on or before 7 November 2015.</w:t>
      </w:r>
      <w:r w:rsidRPr="005F5F47">
        <w:rPr>
          <w:rFonts w:ascii="Times New Roman" w:eastAsia="Times New Roman" w:hAnsi="Times New Roman" w:cs="Times New Roman"/>
          <w:sz w:val="24"/>
          <w:szCs w:val="24"/>
          <w:lang w:eastAsia="en-SG"/>
        </w:rPr>
        <w:t xml:space="preserve"> Section 4 of the CSP Guidelines further states that "[f]or PSAs already executed but are not yet filed or for those that are still in the process of negotiation, the concerned DUs are directed to comply with the CSP requirement before their PSA applications will be accepted by the ERC."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 xml:space="preserve">On 15 March 2016, however, the ERC, for the second time, unilaterally postponed the date of effectivity of CSP. The ERC issued the ERC </w:t>
      </w:r>
      <w:proofErr w:type="spellStart"/>
      <w:r w:rsidRPr="005F5F47">
        <w:rPr>
          <w:rFonts w:ascii="Times New Roman" w:eastAsia="Times New Roman" w:hAnsi="Times New Roman" w:cs="Times New Roman"/>
          <w:b/>
          <w:bCs/>
          <w:sz w:val="24"/>
          <w:szCs w:val="24"/>
          <w:lang w:eastAsia="en-SG"/>
        </w:rPr>
        <w:t>Clarificatory</w:t>
      </w:r>
      <w:proofErr w:type="spellEnd"/>
      <w:r w:rsidRPr="005F5F47">
        <w:rPr>
          <w:rFonts w:ascii="Times New Roman" w:eastAsia="Times New Roman" w:hAnsi="Times New Roman" w:cs="Times New Roman"/>
          <w:b/>
          <w:bCs/>
          <w:sz w:val="24"/>
          <w:szCs w:val="24"/>
          <w:lang w:eastAsia="en-SG"/>
        </w:rPr>
        <w:t xml:space="preserve"> Resolution, which restated the date of effectivity of the CSP Guidelines from 7 November 2015 to 30 April 2016.</w:t>
      </w:r>
      <w:r w:rsidRPr="005F5F47">
        <w:rPr>
          <w:rFonts w:ascii="Times New Roman" w:eastAsia="Times New Roman" w:hAnsi="Times New Roman" w:cs="Times New Roman"/>
          <w:sz w:val="24"/>
          <w:szCs w:val="24"/>
          <w:lang w:eastAsia="en-SG"/>
        </w:rPr>
        <w:t xml:space="preserve"> Paragraph 1 of the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 reads: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1. </w:t>
      </w:r>
      <w:r w:rsidRPr="005F5F47">
        <w:rPr>
          <w:rFonts w:ascii="Times New Roman" w:eastAsia="Times New Roman" w:hAnsi="Times New Roman" w:cs="Times New Roman"/>
          <w:b/>
          <w:bCs/>
          <w:sz w:val="24"/>
          <w:szCs w:val="24"/>
          <w:lang w:eastAsia="en-SG"/>
        </w:rPr>
        <w:t>The effectivity of the CSP [Guidelines] is hereby restated to be 30 April 2016.</w:t>
      </w:r>
      <w:r w:rsidRPr="005F5F47">
        <w:rPr>
          <w:rFonts w:ascii="Times New Roman" w:eastAsia="Times New Roman" w:hAnsi="Times New Roman" w:cs="Times New Roman"/>
          <w:sz w:val="24"/>
          <w:szCs w:val="24"/>
          <w:lang w:eastAsia="en-SG"/>
        </w:rPr>
        <w:t xml:space="preserve"> All PSAs executed on or after the said date shall be required, without exception, to comply with the provisions of the CSP [Guidelines]. (Boldfacing added)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 xml:space="preserve">The second postponement of the effectivity of </w:t>
      </w:r>
      <w:proofErr w:type="spellStart"/>
      <w:r w:rsidRPr="005F5F47">
        <w:rPr>
          <w:rFonts w:ascii="Times New Roman" w:eastAsia="Times New Roman" w:hAnsi="Times New Roman" w:cs="Times New Roman"/>
          <w:b/>
          <w:bCs/>
          <w:sz w:val="24"/>
          <w:szCs w:val="24"/>
          <w:lang w:eastAsia="en-SG"/>
        </w:rPr>
        <w:t>CSPfrom</w:t>
      </w:r>
      <w:proofErr w:type="spellEnd"/>
      <w:r w:rsidRPr="005F5F47">
        <w:rPr>
          <w:rFonts w:ascii="Times New Roman" w:eastAsia="Times New Roman" w:hAnsi="Times New Roman" w:cs="Times New Roman"/>
          <w:b/>
          <w:bCs/>
          <w:sz w:val="24"/>
          <w:szCs w:val="24"/>
          <w:lang w:eastAsia="en-SG"/>
        </w:rPr>
        <w:t xml:space="preserve"> 7 November 2015 to 30 April 2016, or by 175 days, allowed DUs to enter into contracts during the period of postponement to avoid the mandatory CSP.</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table below shows that the following PSAs between </w:t>
      </w: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and its power suppliers were executed and submitted to the ERC </w:t>
      </w:r>
      <w:r w:rsidRPr="005F5F47">
        <w:rPr>
          <w:rFonts w:ascii="Times New Roman" w:eastAsia="Times New Roman" w:hAnsi="Times New Roman" w:cs="Times New Roman"/>
          <w:b/>
          <w:bCs/>
          <w:sz w:val="24"/>
          <w:szCs w:val="24"/>
          <w:lang w:eastAsia="en-SG"/>
        </w:rPr>
        <w:t>within 10 days prior the restated 30 April 2016 deadline</w:t>
      </w:r>
      <w:r w:rsidRPr="005F5F47">
        <w:rPr>
          <w:rFonts w:ascii="Times New Roman" w:eastAsia="Times New Roman" w:hAnsi="Times New Roman" w:cs="Times New Roman"/>
          <w:sz w:val="24"/>
          <w:szCs w:val="24"/>
          <w:lang w:eastAsia="en-SG"/>
        </w:rPr>
        <w:t xml:space="preserve">. According to the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 these PSAs are not required to comply with CSP.</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22"/>
        <w:gridCol w:w="1242"/>
        <w:gridCol w:w="1310"/>
        <w:gridCol w:w="1242"/>
        <w:gridCol w:w="1310"/>
        <w:gridCol w:w="1242"/>
        <w:gridCol w:w="1242"/>
      </w:tblGrid>
      <w:tr w:rsidR="005F5F47" w:rsidRPr="005F5F47" w:rsidTr="005F5F47">
        <w:trPr>
          <w:tblCellSpacing w:w="0" w:type="dxa"/>
        </w:trPr>
        <w:tc>
          <w:tcPr>
            <w:tcW w:w="800" w:type="pct"/>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lastRenderedPageBreak/>
              <w:t xml:space="preserve">Power Supplier </w:t>
            </w:r>
          </w:p>
        </w:tc>
        <w:tc>
          <w:tcPr>
            <w:tcW w:w="700" w:type="pct"/>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 xml:space="preserve">Power Purchaser </w:t>
            </w:r>
          </w:p>
        </w:tc>
        <w:tc>
          <w:tcPr>
            <w:tcW w:w="700" w:type="pct"/>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Amount of Power Purchased</w:t>
            </w:r>
          </w:p>
        </w:tc>
        <w:tc>
          <w:tcPr>
            <w:tcW w:w="700" w:type="pct"/>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 xml:space="preserve">Term of Agreement </w:t>
            </w:r>
          </w:p>
        </w:tc>
        <w:tc>
          <w:tcPr>
            <w:tcW w:w="700" w:type="pct"/>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 xml:space="preserve">Start of Negotiations </w:t>
            </w:r>
          </w:p>
        </w:tc>
        <w:tc>
          <w:tcPr>
            <w:tcW w:w="700" w:type="pct"/>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 xml:space="preserve">Date of PSA Execution </w:t>
            </w:r>
          </w:p>
        </w:tc>
        <w:tc>
          <w:tcPr>
            <w:tcW w:w="700" w:type="pct"/>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Date of Submission of Application to ERC</w:t>
            </w:r>
          </w:p>
        </w:tc>
      </w:tr>
      <w:tr w:rsidR="005F5F47" w:rsidRPr="005F5F47" w:rsidTr="005F5F47">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Redondo Peninsula Energy, Inc. (RPE)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Manila Electric Company (</w:t>
            </w: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225 Megawatts (MW)</w:t>
            </w:r>
            <w:r w:rsidRPr="005F5F47">
              <w:rPr>
                <w:rFonts w:ascii="Times New Roman" w:eastAsia="Times New Roman" w:hAnsi="Times New Roman" w:cs="Times New Roman"/>
                <w:color w:val="FF0000"/>
                <w:sz w:val="24"/>
                <w:szCs w:val="24"/>
                <w:vertAlign w:val="superscript"/>
                <w:lang w:eastAsia="en-SG"/>
              </w:rPr>
              <w:t>[6]</w:t>
            </w:r>
            <w:r w:rsidRPr="005F5F47">
              <w:rPr>
                <w:rFonts w:ascii="Times New Roman" w:eastAsia="Times New Roman" w:hAnsi="Times New Roman" w:cs="Times New Roman"/>
                <w:sz w:val="24"/>
                <w:szCs w:val="24"/>
                <w:lang w:eastAsia="en-SG"/>
              </w:rPr>
              <w:t xml:space="preserve">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20 years</w:t>
            </w:r>
            <w:r w:rsidRPr="005F5F47">
              <w:rPr>
                <w:rFonts w:ascii="Times New Roman" w:eastAsia="Times New Roman" w:hAnsi="Times New Roman" w:cs="Times New Roman"/>
                <w:color w:val="FF0000"/>
                <w:sz w:val="24"/>
                <w:szCs w:val="24"/>
                <w:vertAlign w:val="superscript"/>
                <w:lang w:eastAsia="en-SG"/>
              </w:rPr>
              <w:t>[7]</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19 July 2012</w:t>
            </w:r>
            <w:r w:rsidRPr="005F5F47">
              <w:rPr>
                <w:rFonts w:ascii="Times New Roman" w:eastAsia="Times New Roman" w:hAnsi="Times New Roman" w:cs="Times New Roman"/>
                <w:color w:val="FF0000"/>
                <w:sz w:val="24"/>
                <w:szCs w:val="24"/>
                <w:vertAlign w:val="superscript"/>
                <w:lang w:eastAsia="en-SG"/>
              </w:rPr>
              <w:t>[8]</w:t>
            </w:r>
            <w:r w:rsidRPr="005F5F47">
              <w:rPr>
                <w:rFonts w:ascii="Times New Roman" w:eastAsia="Times New Roman" w:hAnsi="Times New Roman" w:cs="Times New Roman"/>
                <w:sz w:val="24"/>
                <w:szCs w:val="24"/>
                <w:lang w:eastAsia="en-SG"/>
              </w:rPr>
              <w:t xml:space="preserve">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20 April 2016</w:t>
            </w:r>
            <w:r w:rsidRPr="005F5F47">
              <w:rPr>
                <w:rFonts w:ascii="Times New Roman" w:eastAsia="Times New Roman" w:hAnsi="Times New Roman" w:cs="Times New Roman"/>
                <w:color w:val="FF0000"/>
                <w:sz w:val="24"/>
                <w:szCs w:val="24"/>
                <w:vertAlign w:val="superscript"/>
                <w:lang w:eastAsia="en-SG"/>
              </w:rPr>
              <w:t>[9]</w:t>
            </w:r>
            <w:r w:rsidRPr="005F5F47">
              <w:rPr>
                <w:rFonts w:ascii="Times New Roman" w:eastAsia="Times New Roman" w:hAnsi="Times New Roman" w:cs="Times New Roman"/>
                <w:sz w:val="24"/>
                <w:szCs w:val="24"/>
                <w:lang w:eastAsia="en-SG"/>
              </w:rPr>
              <w:t xml:space="preserve">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28 April 2016</w:t>
            </w:r>
            <w:r w:rsidRPr="005F5F47">
              <w:rPr>
                <w:rFonts w:ascii="Times New Roman" w:eastAsia="Times New Roman" w:hAnsi="Times New Roman" w:cs="Times New Roman"/>
                <w:color w:val="FF0000"/>
                <w:sz w:val="24"/>
                <w:szCs w:val="24"/>
                <w:vertAlign w:val="superscript"/>
                <w:lang w:eastAsia="en-SG"/>
              </w:rPr>
              <w:t>[10]</w:t>
            </w:r>
            <w:r w:rsidRPr="005F5F47">
              <w:rPr>
                <w:rFonts w:ascii="Times New Roman" w:eastAsia="Times New Roman" w:hAnsi="Times New Roman" w:cs="Times New Roman"/>
                <w:sz w:val="24"/>
                <w:szCs w:val="24"/>
                <w:lang w:eastAsia="en-SG"/>
              </w:rPr>
              <w:t xml:space="preserve"> </w:t>
            </w:r>
          </w:p>
        </w:tc>
      </w:tr>
      <w:tr w:rsidR="005F5F47" w:rsidRPr="005F5F47" w:rsidTr="005F5F47">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roofErr w:type="spellStart"/>
            <w:r w:rsidRPr="005F5F47">
              <w:rPr>
                <w:rFonts w:ascii="Times New Roman" w:eastAsia="Times New Roman" w:hAnsi="Times New Roman" w:cs="Times New Roman"/>
                <w:sz w:val="24"/>
                <w:szCs w:val="24"/>
                <w:lang w:eastAsia="en-SG"/>
              </w:rPr>
              <w:t>Atimonan</w:t>
            </w:r>
            <w:proofErr w:type="spellEnd"/>
            <w:r w:rsidRPr="005F5F47">
              <w:rPr>
                <w:rFonts w:ascii="Times New Roman" w:eastAsia="Times New Roman" w:hAnsi="Times New Roman" w:cs="Times New Roman"/>
                <w:sz w:val="24"/>
                <w:szCs w:val="24"/>
                <w:lang w:eastAsia="en-SG"/>
              </w:rPr>
              <w:t xml:space="preserve"> One Energy, Inc. (A1E)</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proofErr w:type="spellStart"/>
            <w:r w:rsidRPr="005F5F47">
              <w:rPr>
                <w:rFonts w:ascii="Times New Roman" w:eastAsia="Times New Roman" w:hAnsi="Times New Roman" w:cs="Times New Roman"/>
                <w:sz w:val="24"/>
                <w:szCs w:val="24"/>
                <w:lang w:eastAsia="en-SG"/>
              </w:rPr>
              <w:t>Meralco</w:t>
            </w:r>
            <w:proofErr w:type="spellEnd"/>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2 x 600 </w:t>
            </w:r>
            <w:r w:rsidRPr="005F5F47">
              <w:rPr>
                <w:rFonts w:ascii="Times New Roman" w:eastAsia="Times New Roman" w:hAnsi="Times New Roman" w:cs="Times New Roman"/>
                <w:sz w:val="24"/>
                <w:szCs w:val="24"/>
                <w:lang w:eastAsia="en-SG"/>
              </w:rPr>
              <w:br/>
              <w:t>  MW(net)</w:t>
            </w:r>
            <w:r w:rsidRPr="005F5F47">
              <w:rPr>
                <w:rFonts w:ascii="Times New Roman" w:eastAsia="Times New Roman" w:hAnsi="Times New Roman" w:cs="Times New Roman"/>
                <w:color w:val="FF0000"/>
                <w:sz w:val="24"/>
                <w:szCs w:val="24"/>
                <w:vertAlign w:val="superscript"/>
                <w:lang w:eastAsia="en-SG"/>
              </w:rPr>
              <w:t>[11]</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20 years and six months</w:t>
            </w:r>
            <w:r w:rsidRPr="005F5F47">
              <w:rPr>
                <w:rFonts w:ascii="Times New Roman" w:eastAsia="Times New Roman" w:hAnsi="Times New Roman" w:cs="Times New Roman"/>
                <w:color w:val="FF0000"/>
                <w:sz w:val="24"/>
                <w:szCs w:val="24"/>
                <w:vertAlign w:val="superscript"/>
                <w:lang w:eastAsia="en-SG"/>
              </w:rPr>
              <w:t>[12]</w:t>
            </w:r>
            <w:r w:rsidRPr="005F5F47">
              <w:rPr>
                <w:rFonts w:ascii="Times New Roman" w:eastAsia="Times New Roman" w:hAnsi="Times New Roman" w:cs="Times New Roman"/>
                <w:sz w:val="24"/>
                <w:szCs w:val="24"/>
                <w:lang w:eastAsia="en-SG"/>
              </w:rPr>
              <w:t xml:space="preserve">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3</w:t>
            </w:r>
            <w:r w:rsidRPr="005F5F47">
              <w:rPr>
                <w:rFonts w:ascii="Times New Roman" w:eastAsia="Times New Roman" w:hAnsi="Times New Roman" w:cs="Times New Roman"/>
                <w:sz w:val="24"/>
                <w:szCs w:val="24"/>
                <w:vertAlign w:val="superscript"/>
                <w:lang w:eastAsia="en-SG"/>
              </w:rPr>
              <w:t>rd</w:t>
            </w:r>
            <w:r w:rsidRPr="005F5F47">
              <w:rPr>
                <w:rFonts w:ascii="Times New Roman" w:eastAsia="Times New Roman" w:hAnsi="Times New Roman" w:cs="Times New Roman"/>
                <w:sz w:val="24"/>
                <w:szCs w:val="24"/>
                <w:lang w:eastAsia="en-SG"/>
              </w:rPr>
              <w:t xml:space="preserve"> or 4</w:t>
            </w:r>
            <w:r w:rsidRPr="005F5F47">
              <w:rPr>
                <w:rFonts w:ascii="Times New Roman" w:eastAsia="Times New Roman" w:hAnsi="Times New Roman" w:cs="Times New Roman"/>
                <w:sz w:val="24"/>
                <w:szCs w:val="24"/>
                <w:vertAlign w:val="superscript"/>
                <w:lang w:eastAsia="en-SG"/>
              </w:rPr>
              <w:t>th</w:t>
            </w:r>
            <w:r w:rsidRPr="005F5F47">
              <w:rPr>
                <w:rFonts w:ascii="Times New Roman" w:eastAsia="Times New Roman" w:hAnsi="Times New Roman" w:cs="Times New Roman"/>
                <w:sz w:val="24"/>
                <w:szCs w:val="24"/>
                <w:lang w:eastAsia="en-SG"/>
              </w:rPr>
              <w:t xml:space="preserve"> quarter of 2014</w:t>
            </w:r>
            <w:r w:rsidRPr="005F5F47">
              <w:rPr>
                <w:rFonts w:ascii="Times New Roman" w:eastAsia="Times New Roman" w:hAnsi="Times New Roman" w:cs="Times New Roman"/>
                <w:color w:val="FF0000"/>
                <w:sz w:val="24"/>
                <w:szCs w:val="24"/>
                <w:vertAlign w:val="superscript"/>
                <w:lang w:eastAsia="en-SG"/>
              </w:rPr>
              <w:t>[13]</w:t>
            </w:r>
            <w:r w:rsidRPr="005F5F47">
              <w:rPr>
                <w:rFonts w:ascii="Times New Roman" w:eastAsia="Times New Roman" w:hAnsi="Times New Roman" w:cs="Times New Roman"/>
                <w:sz w:val="24"/>
                <w:szCs w:val="24"/>
                <w:lang w:eastAsia="en-SG"/>
              </w:rPr>
              <w:t xml:space="preserve">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26 April 2016</w:t>
            </w:r>
            <w:r w:rsidRPr="005F5F47">
              <w:rPr>
                <w:rFonts w:ascii="Times New Roman" w:eastAsia="Times New Roman" w:hAnsi="Times New Roman" w:cs="Times New Roman"/>
                <w:color w:val="FF0000"/>
                <w:sz w:val="24"/>
                <w:szCs w:val="24"/>
                <w:vertAlign w:val="superscript"/>
                <w:lang w:eastAsia="en-SG"/>
              </w:rPr>
              <w:t>[14]</w:t>
            </w:r>
            <w:r w:rsidRPr="005F5F47">
              <w:rPr>
                <w:rFonts w:ascii="Times New Roman" w:eastAsia="Times New Roman" w:hAnsi="Times New Roman" w:cs="Times New Roman"/>
                <w:sz w:val="24"/>
                <w:szCs w:val="24"/>
                <w:lang w:eastAsia="en-SG"/>
              </w:rPr>
              <w:t xml:space="preserve">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28 April 2016</w:t>
            </w:r>
            <w:r w:rsidRPr="005F5F47">
              <w:rPr>
                <w:rFonts w:ascii="Times New Roman" w:eastAsia="Times New Roman" w:hAnsi="Times New Roman" w:cs="Times New Roman"/>
                <w:color w:val="FF0000"/>
                <w:sz w:val="24"/>
                <w:szCs w:val="24"/>
                <w:vertAlign w:val="superscript"/>
                <w:lang w:eastAsia="en-SG"/>
              </w:rPr>
              <w:t>[15]</w:t>
            </w:r>
          </w:p>
        </w:tc>
      </w:tr>
      <w:tr w:rsidR="005F5F47" w:rsidRPr="005F5F47" w:rsidTr="005F5F47">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St. Raphael Power Generation Corporation (SRPGC)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proofErr w:type="spellStart"/>
            <w:r w:rsidRPr="005F5F47">
              <w:rPr>
                <w:rFonts w:ascii="Times New Roman" w:eastAsia="Times New Roman" w:hAnsi="Times New Roman" w:cs="Times New Roman"/>
                <w:sz w:val="24"/>
                <w:szCs w:val="24"/>
                <w:lang w:eastAsia="en-SG"/>
              </w:rPr>
              <w:t>Meralco</w:t>
            </w:r>
            <w:proofErr w:type="spellEnd"/>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Up to 400 MW</w:t>
            </w:r>
            <w:r w:rsidRPr="005F5F47">
              <w:rPr>
                <w:rFonts w:ascii="Times New Roman" w:eastAsia="Times New Roman" w:hAnsi="Times New Roman" w:cs="Times New Roman"/>
                <w:color w:val="FF0000"/>
                <w:sz w:val="24"/>
                <w:szCs w:val="24"/>
                <w:vertAlign w:val="superscript"/>
                <w:lang w:eastAsia="en-SG"/>
              </w:rPr>
              <w:t>[16]</w:t>
            </w:r>
            <w:r w:rsidRPr="005F5F47">
              <w:rPr>
                <w:rFonts w:ascii="Times New Roman" w:eastAsia="Times New Roman" w:hAnsi="Times New Roman" w:cs="Times New Roman"/>
                <w:sz w:val="24"/>
                <w:szCs w:val="24"/>
                <w:lang w:eastAsia="en-SG"/>
              </w:rPr>
              <w:t xml:space="preserve">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20 years and four months</w:t>
            </w:r>
            <w:r w:rsidRPr="005F5F47">
              <w:rPr>
                <w:rFonts w:ascii="Times New Roman" w:eastAsia="Times New Roman" w:hAnsi="Times New Roman" w:cs="Times New Roman"/>
                <w:color w:val="FF0000"/>
                <w:sz w:val="24"/>
                <w:szCs w:val="24"/>
                <w:vertAlign w:val="superscript"/>
                <w:lang w:eastAsia="en-SG"/>
              </w:rPr>
              <w:t>[17]</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Latter part of 2014</w:t>
            </w:r>
            <w:r w:rsidRPr="005F5F47">
              <w:rPr>
                <w:rFonts w:ascii="Times New Roman" w:eastAsia="Times New Roman" w:hAnsi="Times New Roman" w:cs="Times New Roman"/>
                <w:color w:val="FF0000"/>
                <w:sz w:val="24"/>
                <w:szCs w:val="24"/>
                <w:vertAlign w:val="superscript"/>
                <w:lang w:eastAsia="en-SG"/>
              </w:rPr>
              <w:t>[18]</w:t>
            </w:r>
            <w:r w:rsidRPr="005F5F47">
              <w:rPr>
                <w:rFonts w:ascii="Times New Roman" w:eastAsia="Times New Roman" w:hAnsi="Times New Roman" w:cs="Times New Roman"/>
                <w:sz w:val="24"/>
                <w:szCs w:val="24"/>
                <w:lang w:eastAsia="en-SG"/>
              </w:rPr>
              <w:t xml:space="preserve">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26 April 2016</w:t>
            </w:r>
            <w:r w:rsidRPr="005F5F47">
              <w:rPr>
                <w:rFonts w:ascii="Times New Roman" w:eastAsia="Times New Roman" w:hAnsi="Times New Roman" w:cs="Times New Roman"/>
                <w:color w:val="FF0000"/>
                <w:sz w:val="24"/>
                <w:szCs w:val="24"/>
                <w:vertAlign w:val="superscript"/>
                <w:lang w:eastAsia="en-SG"/>
              </w:rPr>
              <w:t>[19]</w:t>
            </w:r>
            <w:r w:rsidRPr="005F5F47">
              <w:rPr>
                <w:rFonts w:ascii="Times New Roman" w:eastAsia="Times New Roman" w:hAnsi="Times New Roman" w:cs="Times New Roman"/>
                <w:sz w:val="24"/>
                <w:szCs w:val="24"/>
                <w:lang w:eastAsia="en-SG"/>
              </w:rPr>
              <w:t xml:space="preserve">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28 April 2016</w:t>
            </w:r>
            <w:r w:rsidRPr="005F5F47">
              <w:rPr>
                <w:rFonts w:ascii="Times New Roman" w:eastAsia="Times New Roman" w:hAnsi="Times New Roman" w:cs="Times New Roman"/>
                <w:color w:val="FF0000"/>
                <w:sz w:val="24"/>
                <w:szCs w:val="24"/>
                <w:vertAlign w:val="superscript"/>
                <w:lang w:eastAsia="en-SG"/>
              </w:rPr>
              <w:t>[20]</w:t>
            </w:r>
            <w:r w:rsidRPr="005F5F47">
              <w:rPr>
                <w:rFonts w:ascii="Times New Roman" w:eastAsia="Times New Roman" w:hAnsi="Times New Roman" w:cs="Times New Roman"/>
                <w:sz w:val="24"/>
                <w:szCs w:val="24"/>
                <w:lang w:eastAsia="en-SG"/>
              </w:rPr>
              <w:t xml:space="preserve"> </w:t>
            </w:r>
          </w:p>
        </w:tc>
      </w:tr>
      <w:tr w:rsidR="005F5F47" w:rsidRPr="005F5F47" w:rsidTr="005F5F47">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Panay Energy Development Corporation (PEDC)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proofErr w:type="spellStart"/>
            <w:r w:rsidRPr="005F5F47">
              <w:rPr>
                <w:rFonts w:ascii="Times New Roman" w:eastAsia="Times New Roman" w:hAnsi="Times New Roman" w:cs="Times New Roman"/>
                <w:sz w:val="24"/>
                <w:szCs w:val="24"/>
                <w:lang w:eastAsia="en-SG"/>
              </w:rPr>
              <w:t>Meralco</w:t>
            </w:r>
            <w:proofErr w:type="spellEnd"/>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Up to 70 MW</w:t>
            </w:r>
            <w:r w:rsidRPr="005F5F47">
              <w:rPr>
                <w:rFonts w:ascii="Times New Roman" w:eastAsia="Times New Roman" w:hAnsi="Times New Roman" w:cs="Times New Roman"/>
                <w:color w:val="FF0000"/>
                <w:sz w:val="24"/>
                <w:szCs w:val="24"/>
                <w:vertAlign w:val="superscript"/>
                <w:lang w:eastAsia="en-SG"/>
              </w:rPr>
              <w:t>[21]</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br/>
              <w:t xml:space="preserve">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20 years</w:t>
            </w:r>
            <w:r w:rsidRPr="005F5F47">
              <w:rPr>
                <w:rFonts w:ascii="Times New Roman" w:eastAsia="Times New Roman" w:hAnsi="Times New Roman" w:cs="Times New Roman"/>
                <w:color w:val="FF0000"/>
                <w:sz w:val="24"/>
                <w:szCs w:val="24"/>
                <w:vertAlign w:val="superscript"/>
                <w:lang w:eastAsia="en-SG"/>
              </w:rPr>
              <w:t>[22]</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21 May 2014</w:t>
            </w:r>
            <w:r w:rsidRPr="005F5F47">
              <w:rPr>
                <w:rFonts w:ascii="Times New Roman" w:eastAsia="Times New Roman" w:hAnsi="Times New Roman" w:cs="Times New Roman"/>
                <w:color w:val="FF0000"/>
                <w:sz w:val="24"/>
                <w:szCs w:val="24"/>
                <w:vertAlign w:val="superscript"/>
                <w:lang w:eastAsia="en-SG"/>
              </w:rPr>
              <w:t>[23]</w:t>
            </w:r>
            <w:r w:rsidRPr="005F5F47">
              <w:rPr>
                <w:rFonts w:ascii="Times New Roman" w:eastAsia="Times New Roman" w:hAnsi="Times New Roman" w:cs="Times New Roman"/>
                <w:sz w:val="24"/>
                <w:szCs w:val="24"/>
                <w:lang w:eastAsia="en-SG"/>
              </w:rPr>
              <w:t xml:space="preserve">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26 April 2016</w:t>
            </w:r>
            <w:r w:rsidRPr="005F5F47">
              <w:rPr>
                <w:rFonts w:ascii="Times New Roman" w:eastAsia="Times New Roman" w:hAnsi="Times New Roman" w:cs="Times New Roman"/>
                <w:color w:val="FF0000"/>
                <w:sz w:val="24"/>
                <w:szCs w:val="24"/>
                <w:vertAlign w:val="superscript"/>
                <w:lang w:eastAsia="en-SG"/>
              </w:rPr>
              <w:t>[24]</w:t>
            </w:r>
            <w:r w:rsidRPr="005F5F47">
              <w:rPr>
                <w:rFonts w:ascii="Times New Roman" w:eastAsia="Times New Roman" w:hAnsi="Times New Roman" w:cs="Times New Roman"/>
                <w:sz w:val="24"/>
                <w:szCs w:val="24"/>
                <w:lang w:eastAsia="en-SG"/>
              </w:rPr>
              <w:t xml:space="preserve">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27 April 2016</w:t>
            </w:r>
            <w:r w:rsidRPr="005F5F47">
              <w:rPr>
                <w:rFonts w:ascii="Times New Roman" w:eastAsia="Times New Roman" w:hAnsi="Times New Roman" w:cs="Times New Roman"/>
                <w:color w:val="FF0000"/>
                <w:sz w:val="24"/>
                <w:szCs w:val="24"/>
                <w:vertAlign w:val="superscript"/>
                <w:lang w:eastAsia="en-SG"/>
              </w:rPr>
              <w:t>[25]</w:t>
            </w:r>
            <w:r w:rsidRPr="005F5F47">
              <w:rPr>
                <w:rFonts w:ascii="Times New Roman" w:eastAsia="Times New Roman" w:hAnsi="Times New Roman" w:cs="Times New Roman"/>
                <w:sz w:val="24"/>
                <w:szCs w:val="24"/>
                <w:lang w:eastAsia="en-SG"/>
              </w:rPr>
              <w:t xml:space="preserve"> </w:t>
            </w:r>
          </w:p>
        </w:tc>
      </w:tr>
      <w:tr w:rsidR="005F5F47" w:rsidRPr="005F5F47" w:rsidTr="005F5F47">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Global Luzon Energy Development Corporation (GLEDC)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proofErr w:type="spellStart"/>
            <w:r w:rsidRPr="005F5F47">
              <w:rPr>
                <w:rFonts w:ascii="Times New Roman" w:eastAsia="Times New Roman" w:hAnsi="Times New Roman" w:cs="Times New Roman"/>
                <w:sz w:val="24"/>
                <w:szCs w:val="24"/>
                <w:lang w:eastAsia="en-SG"/>
              </w:rPr>
              <w:t>Meralco</w:t>
            </w:r>
            <w:proofErr w:type="spellEnd"/>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600 MW</w:t>
            </w:r>
            <w:r w:rsidRPr="005F5F47">
              <w:rPr>
                <w:rFonts w:ascii="Times New Roman" w:eastAsia="Times New Roman" w:hAnsi="Times New Roman" w:cs="Times New Roman"/>
                <w:color w:val="FF0000"/>
                <w:sz w:val="24"/>
                <w:szCs w:val="24"/>
                <w:vertAlign w:val="superscript"/>
                <w:lang w:eastAsia="en-SG"/>
              </w:rPr>
              <w:t>[26]</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20 years</w:t>
            </w:r>
            <w:r w:rsidRPr="005F5F47">
              <w:rPr>
                <w:rFonts w:ascii="Times New Roman" w:eastAsia="Times New Roman" w:hAnsi="Times New Roman" w:cs="Times New Roman"/>
                <w:color w:val="FF0000"/>
                <w:sz w:val="24"/>
                <w:szCs w:val="24"/>
                <w:vertAlign w:val="superscript"/>
                <w:lang w:eastAsia="en-SG"/>
              </w:rPr>
              <w:t>[27]</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9 December 2014</w:t>
            </w:r>
            <w:r w:rsidRPr="005F5F47">
              <w:rPr>
                <w:rFonts w:ascii="Times New Roman" w:eastAsia="Times New Roman" w:hAnsi="Times New Roman" w:cs="Times New Roman"/>
                <w:color w:val="FF0000"/>
                <w:sz w:val="24"/>
                <w:szCs w:val="24"/>
                <w:vertAlign w:val="superscript"/>
                <w:lang w:eastAsia="en-SG"/>
              </w:rPr>
              <w:t>[28]</w:t>
            </w:r>
            <w:r w:rsidRPr="005F5F47">
              <w:rPr>
                <w:rFonts w:ascii="Times New Roman" w:eastAsia="Times New Roman" w:hAnsi="Times New Roman" w:cs="Times New Roman"/>
                <w:sz w:val="24"/>
                <w:szCs w:val="24"/>
                <w:lang w:eastAsia="en-SG"/>
              </w:rPr>
              <w:t xml:space="preserve">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27 April 2016</w:t>
            </w:r>
            <w:r w:rsidRPr="005F5F47">
              <w:rPr>
                <w:rFonts w:ascii="Times New Roman" w:eastAsia="Times New Roman" w:hAnsi="Times New Roman" w:cs="Times New Roman"/>
                <w:color w:val="FF0000"/>
                <w:sz w:val="24"/>
                <w:szCs w:val="24"/>
                <w:vertAlign w:val="superscript"/>
                <w:lang w:eastAsia="en-SG"/>
              </w:rPr>
              <w:t>[29]</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29 April 2016</w:t>
            </w:r>
            <w:r w:rsidRPr="005F5F47">
              <w:rPr>
                <w:rFonts w:ascii="Times New Roman" w:eastAsia="Times New Roman" w:hAnsi="Times New Roman" w:cs="Times New Roman"/>
                <w:color w:val="FF0000"/>
                <w:sz w:val="24"/>
                <w:szCs w:val="24"/>
                <w:vertAlign w:val="superscript"/>
                <w:lang w:eastAsia="en-SG"/>
              </w:rPr>
              <w:t>[30]</w:t>
            </w:r>
            <w:r w:rsidRPr="005F5F47">
              <w:rPr>
                <w:rFonts w:ascii="Times New Roman" w:eastAsia="Times New Roman" w:hAnsi="Times New Roman" w:cs="Times New Roman"/>
                <w:sz w:val="24"/>
                <w:szCs w:val="24"/>
                <w:lang w:eastAsia="en-SG"/>
              </w:rPr>
              <w:t xml:space="preserve"> </w:t>
            </w:r>
          </w:p>
        </w:tc>
      </w:tr>
      <w:tr w:rsidR="005F5F47" w:rsidRPr="005F5F47" w:rsidTr="005F5F47">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Central Luzon Premiere Power Corporation (CLPPC)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proofErr w:type="spellStart"/>
            <w:r w:rsidRPr="005F5F47">
              <w:rPr>
                <w:rFonts w:ascii="Times New Roman" w:eastAsia="Times New Roman" w:hAnsi="Times New Roman" w:cs="Times New Roman"/>
                <w:sz w:val="24"/>
                <w:szCs w:val="24"/>
                <w:lang w:eastAsia="en-SG"/>
              </w:rPr>
              <w:t>Meralco</w:t>
            </w:r>
            <w:proofErr w:type="spellEnd"/>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Up to 528 MW</w:t>
            </w:r>
            <w:r w:rsidRPr="005F5F47">
              <w:rPr>
                <w:rFonts w:ascii="Times New Roman" w:eastAsia="Times New Roman" w:hAnsi="Times New Roman" w:cs="Times New Roman"/>
                <w:color w:val="FF0000"/>
                <w:sz w:val="24"/>
                <w:szCs w:val="24"/>
                <w:vertAlign w:val="superscript"/>
                <w:lang w:eastAsia="en-SG"/>
              </w:rPr>
              <w:t>[31]</w:t>
            </w:r>
            <w:r w:rsidRPr="005F5F47">
              <w:rPr>
                <w:rFonts w:ascii="Times New Roman" w:eastAsia="Times New Roman" w:hAnsi="Times New Roman" w:cs="Times New Roman"/>
                <w:sz w:val="24"/>
                <w:szCs w:val="24"/>
                <w:lang w:eastAsia="en-SG"/>
              </w:rPr>
              <w:t xml:space="preserve">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21 years</w:t>
            </w:r>
            <w:r w:rsidRPr="005F5F47">
              <w:rPr>
                <w:rFonts w:ascii="Times New Roman" w:eastAsia="Times New Roman" w:hAnsi="Times New Roman" w:cs="Times New Roman"/>
                <w:color w:val="FF0000"/>
                <w:sz w:val="24"/>
                <w:szCs w:val="24"/>
                <w:vertAlign w:val="superscript"/>
                <w:lang w:eastAsia="en-SG"/>
              </w:rPr>
              <w:t>[32]</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18 March 2015</w:t>
            </w:r>
            <w:r w:rsidRPr="005F5F47">
              <w:rPr>
                <w:rFonts w:ascii="Times New Roman" w:eastAsia="Times New Roman" w:hAnsi="Times New Roman" w:cs="Times New Roman"/>
                <w:color w:val="FF0000"/>
                <w:sz w:val="24"/>
                <w:szCs w:val="24"/>
                <w:vertAlign w:val="superscript"/>
                <w:lang w:eastAsia="en-SG"/>
              </w:rPr>
              <w:t>[33]</w:t>
            </w:r>
            <w:r w:rsidRPr="005F5F47">
              <w:rPr>
                <w:rFonts w:ascii="Times New Roman" w:eastAsia="Times New Roman" w:hAnsi="Times New Roman" w:cs="Times New Roman"/>
                <w:sz w:val="24"/>
                <w:szCs w:val="24"/>
                <w:lang w:eastAsia="en-SG"/>
              </w:rPr>
              <w:t xml:space="preserve"> </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26 April 2016</w:t>
            </w:r>
            <w:r w:rsidRPr="005F5F47">
              <w:rPr>
                <w:rFonts w:ascii="Times New Roman" w:eastAsia="Times New Roman" w:hAnsi="Times New Roman" w:cs="Times New Roman"/>
                <w:color w:val="FF0000"/>
                <w:sz w:val="24"/>
                <w:szCs w:val="24"/>
                <w:vertAlign w:val="superscript"/>
                <w:lang w:eastAsia="en-SG"/>
              </w:rPr>
              <w:t>[34]</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29 April 2016</w:t>
            </w:r>
            <w:r w:rsidRPr="005F5F47">
              <w:rPr>
                <w:rFonts w:ascii="Times New Roman" w:eastAsia="Times New Roman" w:hAnsi="Times New Roman" w:cs="Times New Roman"/>
                <w:color w:val="FF0000"/>
                <w:sz w:val="24"/>
                <w:szCs w:val="24"/>
                <w:vertAlign w:val="superscript"/>
                <w:lang w:eastAsia="en-SG"/>
              </w:rPr>
              <w:t>[35]</w:t>
            </w:r>
            <w:r w:rsidRPr="005F5F47">
              <w:rPr>
                <w:rFonts w:ascii="Times New Roman" w:eastAsia="Times New Roman" w:hAnsi="Times New Roman" w:cs="Times New Roman"/>
                <w:sz w:val="24"/>
                <w:szCs w:val="24"/>
                <w:lang w:eastAsia="en-SG"/>
              </w:rPr>
              <w:t xml:space="preserve"> </w:t>
            </w:r>
          </w:p>
        </w:tc>
      </w:tr>
      <w:tr w:rsidR="005F5F47" w:rsidRPr="005F5F47" w:rsidTr="005F5F47">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roofErr w:type="spellStart"/>
            <w:r w:rsidRPr="005F5F47">
              <w:rPr>
                <w:rFonts w:ascii="Times New Roman" w:eastAsia="Times New Roman" w:hAnsi="Times New Roman" w:cs="Times New Roman"/>
                <w:sz w:val="24"/>
                <w:szCs w:val="24"/>
                <w:lang w:eastAsia="en-SG"/>
              </w:rPr>
              <w:t>Mariveles</w:t>
            </w:r>
            <w:proofErr w:type="spellEnd"/>
            <w:r w:rsidRPr="005F5F47">
              <w:rPr>
                <w:rFonts w:ascii="Times New Roman" w:eastAsia="Times New Roman" w:hAnsi="Times New Roman" w:cs="Times New Roman"/>
                <w:sz w:val="24"/>
                <w:szCs w:val="24"/>
                <w:lang w:eastAsia="en-SG"/>
              </w:rPr>
              <w:t xml:space="preserve"> Power Generation Corporation (MPGC)</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proofErr w:type="spellStart"/>
            <w:r w:rsidRPr="005F5F47">
              <w:rPr>
                <w:rFonts w:ascii="Times New Roman" w:eastAsia="Times New Roman" w:hAnsi="Times New Roman" w:cs="Times New Roman"/>
                <w:sz w:val="24"/>
                <w:szCs w:val="24"/>
                <w:lang w:eastAsia="en-SG"/>
              </w:rPr>
              <w:t>Meralco</w:t>
            </w:r>
            <w:proofErr w:type="spellEnd"/>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Up to 528 MW</w:t>
            </w:r>
            <w:r w:rsidRPr="005F5F47">
              <w:rPr>
                <w:rFonts w:ascii="Times New Roman" w:eastAsia="Times New Roman" w:hAnsi="Times New Roman" w:cs="Times New Roman"/>
                <w:color w:val="FF0000"/>
                <w:sz w:val="24"/>
                <w:szCs w:val="24"/>
                <w:vertAlign w:val="superscript"/>
                <w:lang w:eastAsia="en-SG"/>
              </w:rPr>
              <w:t>[36]</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21 years</w:t>
            </w:r>
            <w:r w:rsidRPr="005F5F47">
              <w:rPr>
                <w:rFonts w:ascii="Times New Roman" w:eastAsia="Times New Roman" w:hAnsi="Times New Roman" w:cs="Times New Roman"/>
                <w:color w:val="FF0000"/>
                <w:sz w:val="24"/>
                <w:szCs w:val="24"/>
                <w:vertAlign w:val="superscript"/>
                <w:lang w:eastAsia="en-SG"/>
              </w:rPr>
              <w:t>[37]</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11 February 2015</w:t>
            </w:r>
            <w:r w:rsidRPr="005F5F47">
              <w:rPr>
                <w:rFonts w:ascii="Times New Roman" w:eastAsia="Times New Roman" w:hAnsi="Times New Roman" w:cs="Times New Roman"/>
                <w:color w:val="FF0000"/>
                <w:sz w:val="24"/>
                <w:szCs w:val="24"/>
                <w:vertAlign w:val="superscript"/>
                <w:lang w:eastAsia="en-SG"/>
              </w:rPr>
              <w:t>[38]</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26 April 2016</w:t>
            </w:r>
            <w:r w:rsidRPr="005F5F47">
              <w:rPr>
                <w:rFonts w:ascii="Times New Roman" w:eastAsia="Times New Roman" w:hAnsi="Times New Roman" w:cs="Times New Roman"/>
                <w:color w:val="FF0000"/>
                <w:sz w:val="24"/>
                <w:szCs w:val="24"/>
                <w:vertAlign w:val="superscript"/>
                <w:lang w:eastAsia="en-SG"/>
              </w:rPr>
              <w:t>[39]</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29 April 2016</w:t>
            </w:r>
            <w:r w:rsidRPr="005F5F47">
              <w:rPr>
                <w:rFonts w:ascii="Times New Roman" w:eastAsia="Times New Roman" w:hAnsi="Times New Roman" w:cs="Times New Roman"/>
                <w:color w:val="FF0000"/>
                <w:sz w:val="24"/>
                <w:szCs w:val="24"/>
                <w:vertAlign w:val="superscript"/>
                <w:lang w:eastAsia="en-SG"/>
              </w:rPr>
              <w:t>[40]</w:t>
            </w:r>
          </w:p>
        </w:tc>
      </w:tr>
    </w:tbl>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 xml:space="preserve">A1E and RPE are subsidiaries or affiliates of </w:t>
      </w:r>
      <w:proofErr w:type="spellStart"/>
      <w:r w:rsidRPr="005F5F47">
        <w:rPr>
          <w:rFonts w:ascii="Times New Roman" w:eastAsia="Times New Roman" w:hAnsi="Times New Roman" w:cs="Times New Roman"/>
          <w:b/>
          <w:bCs/>
          <w:sz w:val="24"/>
          <w:szCs w:val="24"/>
          <w:lang w:eastAsia="en-SG"/>
        </w:rPr>
        <w:t>Meralco</w:t>
      </w:r>
      <w:proofErr w:type="spellEnd"/>
      <w:proofErr w:type="gramStart"/>
      <w:r w:rsidRPr="005F5F47">
        <w:rPr>
          <w:rFonts w:ascii="Times New Roman" w:eastAsia="Times New Roman" w:hAnsi="Times New Roman" w:cs="Times New Roman"/>
          <w:b/>
          <w:bCs/>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41]</w:t>
      </w:r>
      <w:r w:rsidRPr="005F5F47">
        <w:rPr>
          <w:rFonts w:ascii="Times New Roman" w:eastAsia="Times New Roman" w:hAnsi="Times New Roman" w:cs="Times New Roman"/>
          <w:sz w:val="24"/>
          <w:szCs w:val="24"/>
          <w:lang w:eastAsia="en-SG"/>
        </w:rPr>
        <w:t xml:space="preserve"> In paragraph 3.71 of its Comment, </w:t>
      </w: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stated that "[a]t the time of the signing of the A1E PSA, A1E was wholly-owned by </w:t>
      </w: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PowerGen</w:t>
      </w:r>
      <w:proofErr w:type="spellEnd"/>
      <w:r w:rsidRPr="005F5F47">
        <w:rPr>
          <w:rFonts w:ascii="Times New Roman" w:eastAsia="Times New Roman" w:hAnsi="Times New Roman" w:cs="Times New Roman"/>
          <w:sz w:val="24"/>
          <w:szCs w:val="24"/>
          <w:lang w:eastAsia="en-SG"/>
        </w:rPr>
        <w:t xml:space="preserve"> Corporation ('</w:t>
      </w:r>
      <w:proofErr w:type="spellStart"/>
      <w:r w:rsidRPr="005F5F47">
        <w:rPr>
          <w:rFonts w:ascii="Times New Roman" w:eastAsia="Times New Roman" w:hAnsi="Times New Roman" w:cs="Times New Roman"/>
          <w:sz w:val="24"/>
          <w:szCs w:val="24"/>
          <w:lang w:eastAsia="en-SG"/>
        </w:rPr>
        <w:t>PowerGen</w:t>
      </w:r>
      <w:proofErr w:type="spellEnd"/>
      <w:r w:rsidRPr="005F5F47">
        <w:rPr>
          <w:rFonts w:ascii="Times New Roman" w:eastAsia="Times New Roman" w:hAnsi="Times New Roman" w:cs="Times New Roman"/>
          <w:sz w:val="24"/>
          <w:szCs w:val="24"/>
          <w:lang w:eastAsia="en-SG"/>
        </w:rPr>
        <w:t xml:space="preserve">'), a wholly-owned subsidiary of </w:t>
      </w: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On the other hand, at the time of the signing of the RPE PSA, forty-seven percent (47%) of the total subscribed capital of RPE was owned by </w:t>
      </w:r>
      <w:proofErr w:type="spellStart"/>
      <w:r w:rsidRPr="005F5F47">
        <w:rPr>
          <w:rFonts w:ascii="Times New Roman" w:eastAsia="Times New Roman" w:hAnsi="Times New Roman" w:cs="Times New Roman"/>
          <w:sz w:val="24"/>
          <w:szCs w:val="24"/>
          <w:lang w:eastAsia="en-SG"/>
        </w:rPr>
        <w:t>PowerGen</w:t>
      </w:r>
      <w:proofErr w:type="spellEnd"/>
      <w:r w:rsidRPr="005F5F47">
        <w:rPr>
          <w:rFonts w:ascii="Times New Roman" w:eastAsia="Times New Roman" w:hAnsi="Times New Roman" w:cs="Times New Roman"/>
          <w:sz w:val="24"/>
          <w:szCs w:val="24"/>
          <w:lang w:eastAsia="en-SG"/>
        </w:rPr>
        <w:t xml:space="preserve">, and three percent (3%) of its total subscribed capital was owned by the </w:t>
      </w: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Pension Fund."</w:t>
      </w:r>
      <w:r w:rsidRPr="005F5F47">
        <w:rPr>
          <w:rFonts w:ascii="Times New Roman" w:eastAsia="Times New Roman" w:hAnsi="Times New Roman" w:cs="Times New Roman"/>
          <w:color w:val="FF0000"/>
          <w:sz w:val="24"/>
          <w:szCs w:val="24"/>
          <w:vertAlign w:val="superscript"/>
          <w:lang w:eastAsia="en-SG"/>
        </w:rPr>
        <w:t>[42</w:t>
      </w:r>
      <w:proofErr w:type="gramStart"/>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CLPPC and MPGC are subsidiaries of SMC Global Power Holdings Corp. (SMC Global), the subsidiary of San Miguel Corporation (SMC) engaged in the construction and operation of various power projects.</w:t>
      </w:r>
      <w:r w:rsidRPr="005F5F47">
        <w:rPr>
          <w:rFonts w:ascii="Times New Roman" w:eastAsia="Times New Roman" w:hAnsi="Times New Roman" w:cs="Times New Roman"/>
          <w:color w:val="FF0000"/>
          <w:sz w:val="24"/>
          <w:szCs w:val="24"/>
          <w:vertAlign w:val="superscript"/>
          <w:lang w:eastAsia="en-SG"/>
        </w:rPr>
        <w:t>[43]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In its Comment, </w:t>
      </w: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admitted that "</w:t>
      </w:r>
      <w:r w:rsidRPr="005F5F47">
        <w:rPr>
          <w:rFonts w:ascii="Times New Roman" w:eastAsia="Times New Roman" w:hAnsi="Times New Roman" w:cs="Times New Roman"/>
          <w:b/>
          <w:bCs/>
          <w:sz w:val="24"/>
          <w:szCs w:val="24"/>
          <w:lang w:eastAsia="en-SG"/>
        </w:rPr>
        <w:t>no actual bidding is conducted</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[44]</w:t>
      </w:r>
      <w:r w:rsidRPr="005F5F47">
        <w:rPr>
          <w:rFonts w:ascii="Times New Roman" w:eastAsia="Times New Roman" w:hAnsi="Times New Roman" w:cs="Times New Roman"/>
          <w:sz w:val="24"/>
          <w:szCs w:val="24"/>
          <w:lang w:eastAsia="en-SG"/>
        </w:rPr>
        <w:t xml:space="preserve"> and that "the PSAs entered into by </w:t>
      </w: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undergo competitive selection and </w:t>
      </w:r>
      <w:r w:rsidRPr="005F5F47">
        <w:rPr>
          <w:rFonts w:ascii="Times New Roman" w:eastAsia="Times New Roman" w:hAnsi="Times New Roman" w:cs="Times New Roman"/>
          <w:b/>
          <w:bCs/>
          <w:sz w:val="24"/>
          <w:szCs w:val="24"/>
          <w:lang w:eastAsia="en-SG"/>
        </w:rPr>
        <w:t>thorough negotiations</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sz w:val="24"/>
          <w:szCs w:val="24"/>
          <w:lang w:eastAsia="en-SG"/>
        </w:rPr>
        <w:lastRenderedPageBreak/>
        <w:t>taking into consideration its specific and unique requirements."</w:t>
      </w:r>
      <w:r w:rsidRPr="005F5F47">
        <w:rPr>
          <w:rFonts w:ascii="Times New Roman" w:eastAsia="Times New Roman" w:hAnsi="Times New Roman" w:cs="Times New Roman"/>
          <w:color w:val="FF0000"/>
          <w:sz w:val="24"/>
          <w:szCs w:val="24"/>
          <w:vertAlign w:val="superscript"/>
          <w:lang w:eastAsia="en-SG"/>
        </w:rPr>
        <w:t>[45]</w:t>
      </w:r>
      <w:r w:rsidRPr="005F5F47">
        <w:rPr>
          <w:rFonts w:ascii="Times New Roman" w:eastAsia="Times New Roman" w:hAnsi="Times New Roman" w:cs="Times New Roman"/>
          <w:sz w:val="24"/>
          <w:szCs w:val="24"/>
          <w:lang w:eastAsia="en-SG"/>
        </w:rPr>
        <w:t xml:space="preserve"> In short, no CSP was conducted through a third party recognized by the ERC as mandated in the 2015 DOE Circular.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also stated that, apart from the seven (7) PSAs between </w:t>
      </w: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and its power suppliers, </w:t>
      </w:r>
      <w:r w:rsidRPr="005F5F47">
        <w:rPr>
          <w:rFonts w:ascii="Times New Roman" w:eastAsia="Times New Roman" w:hAnsi="Times New Roman" w:cs="Times New Roman"/>
          <w:b/>
          <w:bCs/>
          <w:sz w:val="24"/>
          <w:szCs w:val="24"/>
          <w:lang w:eastAsia="en-SG"/>
        </w:rPr>
        <w:t>there are eighty-three (83) other PSAs filed with the ERC during the period from 16 April 2016 to 29 April 2016, bringing the total PSAs excluded from CSP to ninety (90) PSAs</w:t>
      </w:r>
      <w:r w:rsidRPr="005F5F47">
        <w:rPr>
          <w:rFonts w:ascii="Times New Roman" w:eastAsia="Times New Roman" w:hAnsi="Times New Roman" w:cs="Times New Roman"/>
          <w:sz w:val="24"/>
          <w:szCs w:val="24"/>
          <w:lang w:eastAsia="en-SG"/>
        </w:rPr>
        <w:t>.</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52"/>
        <w:gridCol w:w="2253"/>
        <w:gridCol w:w="4505"/>
      </w:tblGrid>
      <w:tr w:rsidR="005F5F47" w:rsidRPr="005F5F47" w:rsidTr="005F5F47">
        <w:trPr>
          <w:tblCellSpacing w:w="0" w:type="dxa"/>
        </w:trPr>
        <w:tc>
          <w:tcPr>
            <w:tcW w:w="1250" w:type="pct"/>
            <w:tcBorders>
              <w:top w:val="outset" w:sz="6" w:space="0" w:color="auto"/>
              <w:left w:val="outset" w:sz="6" w:space="0" w:color="auto"/>
              <w:bottom w:val="outset" w:sz="6" w:space="0" w:color="auto"/>
              <w:right w:val="outset" w:sz="6" w:space="0" w:color="auto"/>
            </w:tcBorders>
            <w:vAlign w:val="center"/>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DATE</w:t>
            </w:r>
          </w:p>
        </w:tc>
        <w:tc>
          <w:tcPr>
            <w:tcW w:w="1250" w:type="pct"/>
            <w:tcBorders>
              <w:top w:val="outset" w:sz="6" w:space="0" w:color="auto"/>
              <w:left w:val="outset" w:sz="6" w:space="0" w:color="auto"/>
              <w:bottom w:val="outset" w:sz="6" w:space="0" w:color="auto"/>
              <w:right w:val="outset" w:sz="6" w:space="0" w:color="auto"/>
            </w:tcBorders>
            <w:vAlign w:val="center"/>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NO. OF PSAS</w:t>
            </w:r>
          </w:p>
        </w:tc>
        <w:tc>
          <w:tcPr>
            <w:tcW w:w="2500" w:type="pct"/>
            <w:tcBorders>
              <w:top w:val="outset" w:sz="6" w:space="0" w:color="auto"/>
              <w:left w:val="outset" w:sz="6" w:space="0" w:color="auto"/>
              <w:bottom w:val="outset" w:sz="6" w:space="0" w:color="auto"/>
              <w:right w:val="outset" w:sz="6" w:space="0" w:color="auto"/>
            </w:tcBorders>
            <w:vAlign w:val="center"/>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GENERATION COMPANIES</w:t>
            </w:r>
          </w:p>
        </w:tc>
      </w:tr>
      <w:tr w:rsidR="005F5F47" w:rsidRPr="005F5F47" w:rsidTr="005F5F47">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16 to 24 April 2016</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4 PSAs</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Mineral Power, Palm Concepcion, </w:t>
            </w:r>
            <w:proofErr w:type="spellStart"/>
            <w:r w:rsidRPr="005F5F47">
              <w:rPr>
                <w:rFonts w:ascii="Times New Roman" w:eastAsia="Times New Roman" w:hAnsi="Times New Roman" w:cs="Times New Roman"/>
                <w:sz w:val="24"/>
                <w:szCs w:val="24"/>
                <w:lang w:eastAsia="en-SG"/>
              </w:rPr>
              <w:t>Astroenergy</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GNPower</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Kauswagan</w:t>
            </w:r>
            <w:proofErr w:type="spellEnd"/>
          </w:p>
        </w:tc>
      </w:tr>
      <w:tr w:rsidR="005F5F47" w:rsidRPr="005F5F47" w:rsidTr="005F5F47">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25 April 2016</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5 PSAs</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roofErr w:type="spellStart"/>
            <w:r w:rsidRPr="005F5F47">
              <w:rPr>
                <w:rFonts w:ascii="Times New Roman" w:eastAsia="Times New Roman" w:hAnsi="Times New Roman" w:cs="Times New Roman"/>
                <w:sz w:val="24"/>
                <w:szCs w:val="24"/>
                <w:lang w:eastAsia="en-SG"/>
              </w:rPr>
              <w:t>GNPower</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Dinginin</w:t>
            </w:r>
            <w:proofErr w:type="spellEnd"/>
          </w:p>
        </w:tc>
      </w:tr>
      <w:tr w:rsidR="005F5F47" w:rsidRPr="005F5F47" w:rsidTr="005F5F47">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26 April 2016</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5 PSAs</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roofErr w:type="spellStart"/>
            <w:r w:rsidRPr="005F5F47">
              <w:rPr>
                <w:rFonts w:ascii="Times New Roman" w:eastAsia="Times New Roman" w:hAnsi="Times New Roman" w:cs="Times New Roman"/>
                <w:sz w:val="24"/>
                <w:szCs w:val="24"/>
                <w:lang w:eastAsia="en-SG"/>
              </w:rPr>
              <w:t>GNPower</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Dinginin</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Astroenergy</w:t>
            </w:r>
            <w:proofErr w:type="spellEnd"/>
          </w:p>
        </w:tc>
      </w:tr>
      <w:tr w:rsidR="005F5F47" w:rsidRPr="005F5F47" w:rsidTr="005F5F47">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27 April 2016</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4 PSAs</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roofErr w:type="spellStart"/>
            <w:r w:rsidRPr="005F5F47">
              <w:rPr>
                <w:rFonts w:ascii="Times New Roman" w:eastAsia="Times New Roman" w:hAnsi="Times New Roman" w:cs="Times New Roman"/>
                <w:sz w:val="24"/>
                <w:szCs w:val="24"/>
                <w:lang w:eastAsia="en-SG"/>
              </w:rPr>
              <w:t>GNPower</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Dinginin</w:t>
            </w:r>
            <w:proofErr w:type="spellEnd"/>
          </w:p>
        </w:tc>
      </w:tr>
      <w:tr w:rsidR="005F5F47" w:rsidRPr="005F5F47" w:rsidTr="005F5F47">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28 April 2016</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10 PSAs</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A. Brown, </w:t>
            </w:r>
            <w:proofErr w:type="spellStart"/>
            <w:r w:rsidRPr="005F5F47">
              <w:rPr>
                <w:rFonts w:ascii="Times New Roman" w:eastAsia="Times New Roman" w:hAnsi="Times New Roman" w:cs="Times New Roman"/>
                <w:sz w:val="24"/>
                <w:szCs w:val="24"/>
                <w:lang w:eastAsia="en-SG"/>
              </w:rPr>
              <w:t>GNPower</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Dinginin</w:t>
            </w:r>
            <w:proofErr w:type="spellEnd"/>
            <w:r w:rsidRPr="005F5F47">
              <w:rPr>
                <w:rFonts w:ascii="Times New Roman" w:eastAsia="Times New Roman" w:hAnsi="Times New Roman" w:cs="Times New Roman"/>
                <w:sz w:val="24"/>
                <w:szCs w:val="24"/>
                <w:lang w:eastAsia="en-SG"/>
              </w:rPr>
              <w:t xml:space="preserve">, Southern Philippines Power, SMCPC, </w:t>
            </w:r>
            <w:proofErr w:type="spellStart"/>
            <w:r w:rsidRPr="005F5F47">
              <w:rPr>
                <w:rFonts w:ascii="Times New Roman" w:eastAsia="Times New Roman" w:hAnsi="Times New Roman" w:cs="Times New Roman"/>
                <w:sz w:val="24"/>
                <w:szCs w:val="24"/>
                <w:lang w:eastAsia="en-SG"/>
              </w:rPr>
              <w:t>Surepep</w:t>
            </w:r>
            <w:proofErr w:type="spellEnd"/>
            <w:r w:rsidRPr="005F5F47">
              <w:rPr>
                <w:rFonts w:ascii="Times New Roman" w:eastAsia="Times New Roman" w:hAnsi="Times New Roman" w:cs="Times New Roman"/>
                <w:sz w:val="24"/>
                <w:szCs w:val="24"/>
                <w:lang w:eastAsia="en-SG"/>
              </w:rPr>
              <w:t xml:space="preserve">, Total Power, Upper </w:t>
            </w:r>
            <w:proofErr w:type="spellStart"/>
            <w:r w:rsidRPr="005F5F47">
              <w:rPr>
                <w:rFonts w:ascii="Times New Roman" w:eastAsia="Times New Roman" w:hAnsi="Times New Roman" w:cs="Times New Roman"/>
                <w:sz w:val="24"/>
                <w:szCs w:val="24"/>
                <w:lang w:eastAsia="en-SG"/>
              </w:rPr>
              <w:t>Manupali</w:t>
            </w:r>
            <w:proofErr w:type="spellEnd"/>
            <w:r w:rsidRPr="005F5F47">
              <w:rPr>
                <w:rFonts w:ascii="Times New Roman" w:eastAsia="Times New Roman" w:hAnsi="Times New Roman" w:cs="Times New Roman"/>
                <w:sz w:val="24"/>
                <w:szCs w:val="24"/>
                <w:lang w:eastAsia="en-SG"/>
              </w:rPr>
              <w:t xml:space="preserve"> Hydro</w:t>
            </w:r>
          </w:p>
        </w:tc>
      </w:tr>
      <w:tr w:rsidR="005F5F47" w:rsidRPr="005F5F47" w:rsidTr="005F5F47">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29 April 2016</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55 PSAs</w:t>
            </w:r>
          </w:p>
        </w:tc>
        <w:tc>
          <w:tcPr>
            <w:tcW w:w="0" w:type="auto"/>
            <w:tcBorders>
              <w:top w:val="outset" w:sz="6" w:space="0" w:color="auto"/>
              <w:left w:val="outset" w:sz="6" w:space="0" w:color="auto"/>
              <w:bottom w:val="outset" w:sz="6" w:space="0" w:color="auto"/>
              <w:right w:val="outset" w:sz="6" w:space="0" w:color="auto"/>
            </w:tcBorders>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SMEC, MPGC, SCPC, SMCPC, LPPC, PEDC, GLEDC, CLPPC, A. Brown, A1E, </w:t>
            </w:r>
            <w:proofErr w:type="spellStart"/>
            <w:r w:rsidRPr="005F5F47">
              <w:rPr>
                <w:rFonts w:ascii="Times New Roman" w:eastAsia="Times New Roman" w:hAnsi="Times New Roman" w:cs="Times New Roman"/>
                <w:sz w:val="24"/>
                <w:szCs w:val="24"/>
                <w:lang w:eastAsia="en-SG"/>
              </w:rPr>
              <w:t>Anda</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Astronenergy</w:t>
            </w:r>
            <w:proofErr w:type="spellEnd"/>
            <w:r w:rsidRPr="005F5F47">
              <w:rPr>
                <w:rFonts w:ascii="Times New Roman" w:eastAsia="Times New Roman" w:hAnsi="Times New Roman" w:cs="Times New Roman"/>
                <w:sz w:val="24"/>
                <w:szCs w:val="24"/>
                <w:lang w:eastAsia="en-SG"/>
              </w:rPr>
              <w:t xml:space="preserve">, Delta P, </w:t>
            </w:r>
            <w:proofErr w:type="spellStart"/>
            <w:r w:rsidRPr="005F5F47">
              <w:rPr>
                <w:rFonts w:ascii="Times New Roman" w:eastAsia="Times New Roman" w:hAnsi="Times New Roman" w:cs="Times New Roman"/>
                <w:sz w:val="24"/>
                <w:szCs w:val="24"/>
                <w:lang w:eastAsia="en-SG"/>
              </w:rPr>
              <w:t>GNPower</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Dinginin</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GPower</w:t>
            </w:r>
            <w:proofErr w:type="spellEnd"/>
            <w:r w:rsidRPr="005F5F47">
              <w:rPr>
                <w:rFonts w:ascii="Times New Roman" w:eastAsia="Times New Roman" w:hAnsi="Times New Roman" w:cs="Times New Roman"/>
                <w:sz w:val="24"/>
                <w:szCs w:val="24"/>
                <w:lang w:eastAsia="en-SG"/>
              </w:rPr>
              <w:t xml:space="preserve">, Isabela Power, Levan Marketing, </w:t>
            </w:r>
            <w:proofErr w:type="spellStart"/>
            <w:r w:rsidRPr="005F5F47">
              <w:rPr>
                <w:rFonts w:ascii="Times New Roman" w:eastAsia="Times New Roman" w:hAnsi="Times New Roman" w:cs="Times New Roman"/>
                <w:sz w:val="24"/>
                <w:szCs w:val="24"/>
                <w:lang w:eastAsia="en-SG"/>
              </w:rPr>
              <w:t>Mapalad</w:t>
            </w:r>
            <w:proofErr w:type="spellEnd"/>
            <w:r w:rsidRPr="005F5F47">
              <w:rPr>
                <w:rFonts w:ascii="Times New Roman" w:eastAsia="Times New Roman" w:hAnsi="Times New Roman" w:cs="Times New Roman"/>
                <w:sz w:val="24"/>
                <w:szCs w:val="24"/>
                <w:lang w:eastAsia="en-SG"/>
              </w:rPr>
              <w:t xml:space="preserve"> Power, </w:t>
            </w:r>
            <w:proofErr w:type="spellStart"/>
            <w:r w:rsidRPr="005F5F47">
              <w:rPr>
                <w:rFonts w:ascii="Times New Roman" w:eastAsia="Times New Roman" w:hAnsi="Times New Roman" w:cs="Times New Roman"/>
                <w:sz w:val="24"/>
                <w:szCs w:val="24"/>
                <w:lang w:eastAsia="en-SG"/>
              </w:rPr>
              <w:t>Minergy</w:t>
            </w:r>
            <w:proofErr w:type="spellEnd"/>
            <w:r w:rsidRPr="005F5F47">
              <w:rPr>
                <w:rFonts w:ascii="Times New Roman" w:eastAsia="Times New Roman" w:hAnsi="Times New Roman" w:cs="Times New Roman"/>
                <w:sz w:val="24"/>
                <w:szCs w:val="24"/>
                <w:lang w:eastAsia="en-SG"/>
              </w:rPr>
              <w:t xml:space="preserve">, RPE, SRPGC, </w:t>
            </w:r>
            <w:proofErr w:type="spellStart"/>
            <w:r w:rsidRPr="005F5F47">
              <w:rPr>
                <w:rFonts w:ascii="Times New Roman" w:eastAsia="Times New Roman" w:hAnsi="Times New Roman" w:cs="Times New Roman"/>
                <w:sz w:val="24"/>
                <w:szCs w:val="24"/>
                <w:lang w:eastAsia="en-SG"/>
              </w:rPr>
              <w:t>Sunasia</w:t>
            </w:r>
            <w:proofErr w:type="spellEnd"/>
            <w:r w:rsidRPr="005F5F47">
              <w:rPr>
                <w:rFonts w:ascii="Times New Roman" w:eastAsia="Times New Roman" w:hAnsi="Times New Roman" w:cs="Times New Roman"/>
                <w:sz w:val="24"/>
                <w:szCs w:val="24"/>
                <w:lang w:eastAsia="en-SG"/>
              </w:rPr>
              <w:t xml:space="preserve"> Energy, </w:t>
            </w:r>
            <w:proofErr w:type="spellStart"/>
            <w:r w:rsidRPr="005F5F47">
              <w:rPr>
                <w:rFonts w:ascii="Times New Roman" w:eastAsia="Times New Roman" w:hAnsi="Times New Roman" w:cs="Times New Roman"/>
                <w:sz w:val="24"/>
                <w:szCs w:val="24"/>
                <w:lang w:eastAsia="en-SG"/>
              </w:rPr>
              <w:t>TeaM</w:t>
            </w:r>
            <w:proofErr w:type="spellEnd"/>
            <w:r w:rsidRPr="005F5F47">
              <w:rPr>
                <w:rFonts w:ascii="Times New Roman" w:eastAsia="Times New Roman" w:hAnsi="Times New Roman" w:cs="Times New Roman"/>
                <w:sz w:val="24"/>
                <w:szCs w:val="24"/>
                <w:lang w:eastAsia="en-SG"/>
              </w:rPr>
              <w:t xml:space="preserve"> Energy, Trans-Asia, Unified Leyte Geothermal Energy, Western Power Mindanao</w:t>
            </w:r>
            <w:r w:rsidRPr="005F5F47">
              <w:rPr>
                <w:rFonts w:ascii="Times New Roman" w:eastAsia="Times New Roman" w:hAnsi="Times New Roman" w:cs="Times New Roman"/>
                <w:color w:val="FF0000"/>
                <w:sz w:val="24"/>
                <w:szCs w:val="24"/>
                <w:vertAlign w:val="superscript"/>
                <w:lang w:eastAsia="en-SG"/>
              </w:rPr>
              <w:t>[46]</w:t>
            </w:r>
          </w:p>
        </w:tc>
      </w:tr>
    </w:tbl>
    <w:p w:rsidR="005F5F47" w:rsidRPr="005F5F47" w:rsidRDefault="005F5F47" w:rsidP="005F5F47">
      <w:pPr>
        <w:spacing w:after="0" w:line="240" w:lineRule="auto"/>
        <w:rPr>
          <w:rFonts w:ascii="Times New Roman" w:eastAsia="Times New Roman" w:hAnsi="Times New Roman" w:cs="Times New Roman"/>
          <w:sz w:val="24"/>
          <w:szCs w:val="24"/>
          <w:lang w:eastAsia="en-SG"/>
        </w:rPr>
      </w:pP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further stated in its Comment:</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1.41. Furthermore, apart from MERALCO, the following DUs and electric cooperatives also filed more than one PSA with the ERC during the second (2</w:t>
      </w:r>
      <w:r w:rsidRPr="005F5F47">
        <w:rPr>
          <w:rFonts w:ascii="Times New Roman" w:eastAsia="Times New Roman" w:hAnsi="Times New Roman" w:cs="Times New Roman"/>
          <w:sz w:val="24"/>
          <w:szCs w:val="24"/>
          <w:vertAlign w:val="superscript"/>
          <w:lang w:eastAsia="en-SG"/>
        </w:rPr>
        <w:t>nd</w:t>
      </w:r>
      <w:r w:rsidRPr="005F5F47">
        <w:rPr>
          <w:rFonts w:ascii="Times New Roman" w:eastAsia="Times New Roman" w:hAnsi="Times New Roman" w:cs="Times New Roman"/>
          <w:sz w:val="24"/>
          <w:szCs w:val="24"/>
          <w:lang w:eastAsia="en-SG"/>
        </w:rPr>
        <w:t xml:space="preserve">) half of April 2016: (a) </w:t>
      </w:r>
      <w:proofErr w:type="spellStart"/>
      <w:r w:rsidRPr="005F5F47">
        <w:rPr>
          <w:rFonts w:ascii="Times New Roman" w:eastAsia="Times New Roman" w:hAnsi="Times New Roman" w:cs="Times New Roman"/>
          <w:sz w:val="24"/>
          <w:szCs w:val="24"/>
          <w:lang w:eastAsia="en-SG"/>
        </w:rPr>
        <w:t>Agusan</w:t>
      </w:r>
      <w:proofErr w:type="spellEnd"/>
      <w:r w:rsidRPr="005F5F47">
        <w:rPr>
          <w:rFonts w:ascii="Times New Roman" w:eastAsia="Times New Roman" w:hAnsi="Times New Roman" w:cs="Times New Roman"/>
          <w:sz w:val="24"/>
          <w:szCs w:val="24"/>
          <w:lang w:eastAsia="en-SG"/>
        </w:rPr>
        <w:t xml:space="preserve"> del Sur Electric Cooperative, Inc.; (b) </w:t>
      </w:r>
      <w:proofErr w:type="spellStart"/>
      <w:r w:rsidRPr="005F5F47">
        <w:rPr>
          <w:rFonts w:ascii="Times New Roman" w:eastAsia="Times New Roman" w:hAnsi="Times New Roman" w:cs="Times New Roman"/>
          <w:sz w:val="24"/>
          <w:szCs w:val="24"/>
          <w:lang w:eastAsia="en-SG"/>
        </w:rPr>
        <w:t>Bukidnon</w:t>
      </w:r>
      <w:proofErr w:type="spellEnd"/>
      <w:r w:rsidRPr="005F5F47">
        <w:rPr>
          <w:rFonts w:ascii="Times New Roman" w:eastAsia="Times New Roman" w:hAnsi="Times New Roman" w:cs="Times New Roman"/>
          <w:sz w:val="24"/>
          <w:szCs w:val="24"/>
          <w:lang w:eastAsia="en-SG"/>
        </w:rPr>
        <w:t xml:space="preserve"> Second Electric Cooperative, Inc.; (c) Cagayan Electric Power &amp; Light Company, Inc.; (d) </w:t>
      </w:r>
      <w:proofErr w:type="spellStart"/>
      <w:r w:rsidRPr="005F5F47">
        <w:rPr>
          <w:rFonts w:ascii="Times New Roman" w:eastAsia="Times New Roman" w:hAnsi="Times New Roman" w:cs="Times New Roman"/>
          <w:sz w:val="24"/>
          <w:szCs w:val="24"/>
          <w:lang w:eastAsia="en-SG"/>
        </w:rPr>
        <w:t>Cotabato</w:t>
      </w:r>
      <w:proofErr w:type="spellEnd"/>
      <w:r w:rsidRPr="005F5F47">
        <w:rPr>
          <w:rFonts w:ascii="Times New Roman" w:eastAsia="Times New Roman" w:hAnsi="Times New Roman" w:cs="Times New Roman"/>
          <w:sz w:val="24"/>
          <w:szCs w:val="24"/>
          <w:lang w:eastAsia="en-SG"/>
        </w:rPr>
        <w:t xml:space="preserve"> Light and Power Company; (e) Davao del Sur Electric Cooperative; (f) Iloilo 1 Electric Cooperative; (g) </w:t>
      </w:r>
      <w:proofErr w:type="spellStart"/>
      <w:r w:rsidRPr="005F5F47">
        <w:rPr>
          <w:rFonts w:ascii="Times New Roman" w:eastAsia="Times New Roman" w:hAnsi="Times New Roman" w:cs="Times New Roman"/>
          <w:sz w:val="24"/>
          <w:szCs w:val="24"/>
          <w:lang w:eastAsia="en-SG"/>
        </w:rPr>
        <w:t>Ilocos</w:t>
      </w:r>
      <w:proofErr w:type="spellEnd"/>
      <w:r w:rsidRPr="005F5F47">
        <w:rPr>
          <w:rFonts w:ascii="Times New Roman" w:eastAsia="Times New Roman" w:hAnsi="Times New Roman" w:cs="Times New Roman"/>
          <w:sz w:val="24"/>
          <w:szCs w:val="24"/>
          <w:lang w:eastAsia="en-SG"/>
        </w:rPr>
        <w:t xml:space="preserve"> Sur Electric Cooperative Incorporation; (h) Isabela I Electric Cooperative, Inc.; (</w:t>
      </w:r>
      <w:proofErr w:type="spellStart"/>
      <w:r w:rsidRPr="005F5F47">
        <w:rPr>
          <w:rFonts w:ascii="Times New Roman" w:eastAsia="Times New Roman" w:hAnsi="Times New Roman" w:cs="Times New Roman"/>
          <w:sz w:val="24"/>
          <w:szCs w:val="24"/>
          <w:lang w:eastAsia="en-SG"/>
        </w:rPr>
        <w:t>i</w:t>
      </w:r>
      <w:proofErr w:type="spellEnd"/>
      <w:r w:rsidRPr="005F5F47">
        <w:rPr>
          <w:rFonts w:ascii="Times New Roman" w:eastAsia="Times New Roman" w:hAnsi="Times New Roman" w:cs="Times New Roman"/>
          <w:sz w:val="24"/>
          <w:szCs w:val="24"/>
          <w:lang w:eastAsia="en-SG"/>
        </w:rPr>
        <w:t xml:space="preserve">) Isabela II Electric Cooperative; (j) Leyte III Electric Cooperative, Inc.; (k) La Union Electric Cooperative, Inc.; (l) </w:t>
      </w:r>
      <w:proofErr w:type="spellStart"/>
      <w:r w:rsidRPr="005F5F47">
        <w:rPr>
          <w:rFonts w:ascii="Times New Roman" w:eastAsia="Times New Roman" w:hAnsi="Times New Roman" w:cs="Times New Roman"/>
          <w:sz w:val="24"/>
          <w:szCs w:val="24"/>
          <w:lang w:eastAsia="en-SG"/>
        </w:rPr>
        <w:t>Pangasinan</w:t>
      </w:r>
      <w:proofErr w:type="spellEnd"/>
      <w:r w:rsidRPr="005F5F47">
        <w:rPr>
          <w:rFonts w:ascii="Times New Roman" w:eastAsia="Times New Roman" w:hAnsi="Times New Roman" w:cs="Times New Roman"/>
          <w:sz w:val="24"/>
          <w:szCs w:val="24"/>
          <w:lang w:eastAsia="en-SG"/>
        </w:rPr>
        <w:t xml:space="preserve"> Electric Cooperative III; (m) Peninsula Electric Cooperative, Inc.; (n) </w:t>
      </w:r>
      <w:proofErr w:type="spellStart"/>
      <w:r w:rsidRPr="005F5F47">
        <w:rPr>
          <w:rFonts w:ascii="Times New Roman" w:eastAsia="Times New Roman" w:hAnsi="Times New Roman" w:cs="Times New Roman"/>
          <w:sz w:val="24"/>
          <w:szCs w:val="24"/>
          <w:lang w:eastAsia="en-SG"/>
        </w:rPr>
        <w:t>Tarlac</w:t>
      </w:r>
      <w:proofErr w:type="spellEnd"/>
      <w:r w:rsidRPr="005F5F47">
        <w:rPr>
          <w:rFonts w:ascii="Times New Roman" w:eastAsia="Times New Roman" w:hAnsi="Times New Roman" w:cs="Times New Roman"/>
          <w:sz w:val="24"/>
          <w:szCs w:val="24"/>
          <w:lang w:eastAsia="en-SG"/>
        </w:rPr>
        <w:t xml:space="preserve"> II Electric Cooperative, Inc.; (o) Zamboanga City Electric Cooperative, Inc.; and (p) Zamboanga del Sur Electric Cooperative, Inc.</w:t>
      </w:r>
      <w:r w:rsidRPr="005F5F47">
        <w:rPr>
          <w:rFonts w:ascii="Times New Roman" w:eastAsia="Times New Roman" w:hAnsi="Times New Roman" w:cs="Times New Roman"/>
          <w:color w:val="FF0000"/>
          <w:sz w:val="24"/>
          <w:szCs w:val="24"/>
          <w:vertAlign w:val="superscript"/>
          <w:lang w:eastAsia="en-SG"/>
        </w:rPr>
        <w:t>[47]</w:t>
      </w:r>
    </w:p>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u w:val="single"/>
          <w:lang w:eastAsia="en-SG"/>
        </w:rPr>
        <w:t>The Issues</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br/>
        <w:t>ABP raised the following issues:</w:t>
      </w:r>
    </w:p>
    <w:p w:rsidR="005F5F47" w:rsidRPr="005F5F47" w:rsidRDefault="005F5F47" w:rsidP="005F5F47">
      <w:pPr>
        <w:numPr>
          <w:ilvl w:val="0"/>
          <w:numId w:val="4"/>
        </w:numPr>
        <w:spacing w:before="100" w:beforeAutospacing="1" w:after="24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Whether or not the ERC committed grave abuse of discretion in issuing the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w:t>
      </w:r>
    </w:p>
    <w:p w:rsidR="005F5F47" w:rsidRPr="005F5F47" w:rsidRDefault="005F5F47" w:rsidP="005F5F47">
      <w:pPr>
        <w:numPr>
          <w:ilvl w:val="0"/>
          <w:numId w:val="4"/>
        </w:numPr>
        <w:spacing w:before="100" w:beforeAutospacing="1" w:after="100" w:afterAutospacing="1"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Whether or not the separate PSAs of </w:t>
      </w: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with respondent generation companies should be disapproved for their failure to comply with the requirements of the [2015 DOE Circular] and the [CSP Guidelines].</w:t>
      </w:r>
      <w:r w:rsidRPr="005F5F47">
        <w:rPr>
          <w:rFonts w:ascii="Times New Roman" w:eastAsia="Times New Roman" w:hAnsi="Times New Roman" w:cs="Times New Roman"/>
          <w:color w:val="FF0000"/>
          <w:sz w:val="24"/>
          <w:szCs w:val="24"/>
          <w:vertAlign w:val="superscript"/>
          <w:lang w:eastAsia="en-SG"/>
        </w:rPr>
        <w:t>[48]</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ABP's petition thus presents a purely legal issue: Does ERC have the statutory authority to postpone the date of effectivity of CSP, thereby amending the 2015 DOE Circular which </w:t>
      </w:r>
      <w:r w:rsidRPr="005F5F47">
        <w:rPr>
          <w:rFonts w:ascii="Times New Roman" w:eastAsia="Times New Roman" w:hAnsi="Times New Roman" w:cs="Times New Roman"/>
          <w:sz w:val="24"/>
          <w:szCs w:val="24"/>
          <w:lang w:eastAsia="en-SG"/>
        </w:rPr>
        <w:lastRenderedPageBreak/>
        <w:t>required CSP to take effect on 30 June 2015?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determination of the extent of the ERC's statutory authority in the present case is a purely legal question and can be resolved without making any finding of fact. The affirmative or negative resolution of this purely legal question will necessarily result in legal consequences, thus: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(a) If the Court rules affirmatively (that is, the ERC has the statutory authority to postpone the date of effectivity of CSP, and thereby ERC can amend the 2015 DOE Circular), then the legal consequence is that the 90 PSAs submitted to the ERC before the amended effectivity of CSP (30 April 2016) will serve as basis to pass on the power cost to consumers for the duration of the PSAs, whatever the duration of these PSAs.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(b) If the Court rules negatively (that is, the ERC does not have the statutory authority to postpone the date of effectivity of CSP, and thereby cannot amend the 2015 DOE Circular), then the legal consequence is that the 90 PSAs submitted to the ERC after the effectivity of CSP on or after 30 June 2015 cannot serve as basis to pass on the power cost to consumers. In such a case, the ERC will have to conduct CSP on all PSA applications submitted on or after 30 June 2015.</w:t>
      </w:r>
    </w:p>
    <w:p w:rsidR="005F5F47" w:rsidRPr="005F5F47" w:rsidRDefault="005F5F47" w:rsidP="005F5F47">
      <w:pPr>
        <w:spacing w:after="24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Clearly, there is no factual issue in dispute in the present case, and no factual issue has been raised by any of the parties. Thus, the present case can be resolved purely on the legal issue raised by ABP even as the resolution of this purely legal issue will necessarily result in legal consequences either way.</w:t>
      </w:r>
    </w:p>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u w:val="single"/>
          <w:lang w:eastAsia="en-SG"/>
        </w:rPr>
        <w:t>The Court's Ruling</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br/>
        <w:t xml:space="preserve">We </w:t>
      </w:r>
      <w:r w:rsidRPr="005F5F47">
        <w:rPr>
          <w:rFonts w:ascii="Times New Roman" w:eastAsia="Times New Roman" w:hAnsi="Times New Roman" w:cs="Times New Roman"/>
          <w:b/>
          <w:bCs/>
          <w:sz w:val="24"/>
          <w:szCs w:val="24"/>
          <w:lang w:eastAsia="en-SG"/>
        </w:rPr>
        <w:t>GRANT</w:t>
      </w:r>
      <w:r w:rsidRPr="005F5F47">
        <w:rPr>
          <w:rFonts w:ascii="Times New Roman" w:eastAsia="Times New Roman" w:hAnsi="Times New Roman" w:cs="Times New Roman"/>
          <w:sz w:val="24"/>
          <w:szCs w:val="24"/>
          <w:lang w:eastAsia="en-SG"/>
        </w:rPr>
        <w:t xml:space="preserve"> ABP's petition. The ERC does not have the statutory authority to postpone the date of effectivity of CSP, and thereby cannot amend the 2015 DOE Circular. As a result, the 90 PSAs submitted to the ERC after the effectivity of CSP on or after 30 June 2015 cannot serve as basis to pass on the power cost to consumers. The ERC must require CSP on all PSA applications submitted on or after 30 June 2015.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i/>
          <w:iCs/>
          <w:sz w:val="24"/>
          <w:szCs w:val="24"/>
          <w:lang w:eastAsia="en-SG"/>
        </w:rPr>
        <w:t>Certiorari and Prohibition As Remedy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Petitioner ABP correctly filed a petition for </w:t>
      </w:r>
      <w:r w:rsidRPr="005F5F47">
        <w:rPr>
          <w:rFonts w:ascii="Times New Roman" w:eastAsia="Times New Roman" w:hAnsi="Times New Roman" w:cs="Times New Roman"/>
          <w:i/>
          <w:iCs/>
          <w:sz w:val="24"/>
          <w:szCs w:val="24"/>
          <w:lang w:eastAsia="en-SG"/>
        </w:rPr>
        <w:t>certiorari</w:t>
      </w:r>
      <w:r w:rsidRPr="005F5F47">
        <w:rPr>
          <w:rFonts w:ascii="Times New Roman" w:eastAsia="Times New Roman" w:hAnsi="Times New Roman" w:cs="Times New Roman"/>
          <w:sz w:val="24"/>
          <w:szCs w:val="24"/>
          <w:lang w:eastAsia="en-SG"/>
        </w:rPr>
        <w:t xml:space="preserve"> and prohibition before this Court.</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[T]he remedies of </w:t>
      </w:r>
      <w:r w:rsidRPr="005F5F47">
        <w:rPr>
          <w:rFonts w:ascii="Times New Roman" w:eastAsia="Times New Roman" w:hAnsi="Times New Roman" w:cs="Times New Roman"/>
          <w:i/>
          <w:iCs/>
          <w:sz w:val="24"/>
          <w:szCs w:val="24"/>
          <w:lang w:eastAsia="en-SG"/>
        </w:rPr>
        <w:t>certiorari</w:t>
      </w:r>
      <w:r w:rsidRPr="005F5F47">
        <w:rPr>
          <w:rFonts w:ascii="Times New Roman" w:eastAsia="Times New Roman" w:hAnsi="Times New Roman" w:cs="Times New Roman"/>
          <w:sz w:val="24"/>
          <w:szCs w:val="24"/>
          <w:lang w:eastAsia="en-SG"/>
        </w:rPr>
        <w:t xml:space="preserve"> and prohibition are necessarily broader in scope and reach, and the writ of certiorari or prohibition may be issued to correct errors of jurisdiction committed not only by a tribunal, corporation, board or officer exercising judicial, quasi-judicial or ministerial functions but also </w:t>
      </w:r>
      <w:r w:rsidRPr="005F5F47">
        <w:rPr>
          <w:rFonts w:ascii="Times New Roman" w:eastAsia="Times New Roman" w:hAnsi="Times New Roman" w:cs="Times New Roman"/>
          <w:b/>
          <w:bCs/>
          <w:sz w:val="24"/>
          <w:szCs w:val="24"/>
          <w:lang w:eastAsia="en-SG"/>
        </w:rPr>
        <w:t xml:space="preserve">to set right, undo and restrain any act of grave abuse of discretion amounting to lack or excess of jurisdiction by any branch or instrumentality of the Government, </w:t>
      </w:r>
      <w:r w:rsidRPr="005F5F47">
        <w:rPr>
          <w:rFonts w:ascii="Times New Roman" w:eastAsia="Times New Roman" w:hAnsi="Times New Roman" w:cs="Times New Roman"/>
          <w:b/>
          <w:bCs/>
          <w:i/>
          <w:iCs/>
          <w:sz w:val="24"/>
          <w:szCs w:val="24"/>
          <w:lang w:eastAsia="en-SG"/>
        </w:rPr>
        <w:t>even if the latter does not exercise judicial, quasi-judicial or ministerial functions</w:t>
      </w:r>
      <w:r w:rsidRPr="005F5F47">
        <w:rPr>
          <w:rFonts w:ascii="Times New Roman" w:eastAsia="Times New Roman" w:hAnsi="Times New Roman" w:cs="Times New Roman"/>
          <w:sz w:val="24"/>
          <w:szCs w:val="24"/>
          <w:lang w:eastAsia="en-SG"/>
        </w:rPr>
        <w:t>. This application is expressly authorized by the text of the second paragraph of Section 1, [Article 8 of the 1987 Constitution]</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49]</w:t>
      </w:r>
      <w:r w:rsidRPr="005F5F47">
        <w:rPr>
          <w:rFonts w:ascii="Times New Roman" w:eastAsia="Times New Roman" w:hAnsi="Times New Roman" w:cs="Times New Roman"/>
          <w:sz w:val="24"/>
          <w:szCs w:val="24"/>
          <w:lang w:eastAsia="en-SG"/>
        </w:rPr>
        <w:t xml:space="preserve"> (Boldfacing and italicization added)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Not every abuse of discretion can be occasion for this Court to exercise its jurisdiction. Grave abuse of discretion means "such capricious and whimsical exercise of judgment as is equivalent to lack of jurisdiction, or, in other words where the power is exercised in an arbitrary or despotic manner by reason of passion or personal hostility, and it must be so patent and gross as to amount to an evasion of positive duty or to a virtual refusal to perform the duty enjoined or to act at all in contemplation of law. It is not sufficient that a tribunal, in the exercise of its power, abused its discretion, such abuse must be grave."</w:t>
      </w:r>
      <w:r w:rsidRPr="005F5F47">
        <w:rPr>
          <w:rFonts w:ascii="Times New Roman" w:eastAsia="Times New Roman" w:hAnsi="Times New Roman" w:cs="Times New Roman"/>
          <w:color w:val="FF0000"/>
          <w:sz w:val="24"/>
          <w:szCs w:val="24"/>
          <w:vertAlign w:val="superscript"/>
          <w:lang w:eastAsia="en-SG"/>
        </w:rPr>
        <w:t>[50</w:t>
      </w:r>
      <w:proofErr w:type="gramStart"/>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lastRenderedPageBreak/>
        <w:br/>
        <w:t xml:space="preserve">The Dissenting Opinion of Justice Andres B. Reyes, Jr. would rather have this Court dismiss the petition. Justice Reyes asserts that the ERC, in issuing the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 acted within its </w:t>
      </w:r>
      <w:proofErr w:type="gramStart"/>
      <w:r w:rsidRPr="005F5F47">
        <w:rPr>
          <w:rFonts w:ascii="Times New Roman" w:eastAsia="Times New Roman" w:hAnsi="Times New Roman" w:cs="Times New Roman"/>
          <w:sz w:val="24"/>
          <w:szCs w:val="24"/>
          <w:lang w:eastAsia="en-SG"/>
        </w:rPr>
        <w:t>jurisdiction</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51]</w:t>
      </w:r>
      <w:r w:rsidRPr="005F5F47">
        <w:rPr>
          <w:rFonts w:ascii="Times New Roman" w:eastAsia="Times New Roman" w:hAnsi="Times New Roman" w:cs="Times New Roman"/>
          <w:sz w:val="24"/>
          <w:szCs w:val="24"/>
          <w:lang w:eastAsia="en-SG"/>
        </w:rPr>
        <w:t xml:space="preserve"> and did not act with grave abuse of discretion amounting to lack or excess of jurisdiction.</w:t>
      </w:r>
      <w:r w:rsidRPr="005F5F47">
        <w:rPr>
          <w:rFonts w:ascii="Times New Roman" w:eastAsia="Times New Roman" w:hAnsi="Times New Roman" w:cs="Times New Roman"/>
          <w:color w:val="FF0000"/>
          <w:sz w:val="24"/>
          <w:szCs w:val="24"/>
          <w:vertAlign w:val="superscript"/>
          <w:lang w:eastAsia="en-SG"/>
        </w:rPr>
        <w:t>[52]</w:t>
      </w:r>
      <w:r w:rsidRPr="005F5F47">
        <w:rPr>
          <w:rFonts w:ascii="Times New Roman" w:eastAsia="Times New Roman" w:hAnsi="Times New Roman" w:cs="Times New Roman"/>
          <w:sz w:val="24"/>
          <w:szCs w:val="24"/>
          <w:lang w:eastAsia="en-SG"/>
        </w:rPr>
        <w:t xml:space="preserve"> Justice Reyes claims that the ERC was exercising its quasi-legislative power, as granted by Sections 43 and 45 of the EPIRA and as defined in Sections 3 and 4 of the 2015 DOE Circular, when the ERC issued the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 Justice Reyes advances three reasons to justify his assertion that the ERC did not act with grave abuse of discretion amounting to lack or excess of jurisdiction.</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First, the implementation of ERC Resolution No. 13 caused an avalanche of concerns and confusion from the stakeholders of the industry regarding the actual implementation of the provisions of the resolution, so much so that a multitude of [Distribution Utilities] DUs, mostly electric cooperatives, sought for an exemption from the guidelines in the resolution,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Second, ERC did not "evade" its positive duty as provided for in the Constitution, the EPIRA, [the 2015 DOE Circular], or [the CSP Guidelines] as the petitioners would like the Court to believe.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ERC's action on merely "restating" the date of effectivity of [the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 - its own resolution that has been in effect since April, 2016 - has not been shown to have been promulgated with grave abuse of discretion amounting to lack or excess of jurisdiction.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Third, it must also be emphasized that [the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 enjoys a strong presumption of its validity.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x</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53]</w:t>
      </w:r>
    </w:p>
    <w:p w:rsidR="005F5F47" w:rsidRPr="005F5F47" w:rsidRDefault="005F5F47" w:rsidP="005F5F47">
      <w:pPr>
        <w:spacing w:after="240" w:line="240" w:lineRule="auto"/>
        <w:rPr>
          <w:rFonts w:ascii="Times New Roman" w:eastAsia="Times New Roman" w:hAnsi="Times New Roman" w:cs="Times New Roman"/>
          <w:b/>
          <w:bCs/>
          <w:sz w:val="24"/>
          <w:szCs w:val="24"/>
          <w:lang w:eastAsia="en-SG"/>
        </w:rPr>
      </w:pPr>
      <w:r w:rsidRPr="005F5F47">
        <w:rPr>
          <w:rFonts w:ascii="Times New Roman" w:eastAsia="Times New Roman" w:hAnsi="Times New Roman" w:cs="Times New Roman"/>
          <w:sz w:val="24"/>
          <w:szCs w:val="24"/>
          <w:lang w:eastAsia="en-SG"/>
        </w:rPr>
        <w:t xml:space="preserve">Justice Reyes's Dissenting Opinion also finds no problem with the issuance and the contents of the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 According to Justice Reyes, under the Joint Resolution executed by the DOE and the ERC on 20 October 2015, the DOE and the ERC agreed that the ERC shall issue the appropriate regulation to implement CSP.</w:t>
      </w:r>
      <w:r w:rsidRPr="005F5F47">
        <w:rPr>
          <w:rFonts w:ascii="Times New Roman" w:eastAsia="Times New Roman" w:hAnsi="Times New Roman" w:cs="Times New Roman"/>
          <w:color w:val="FF0000"/>
          <w:sz w:val="24"/>
          <w:szCs w:val="24"/>
          <w:vertAlign w:val="superscript"/>
          <w:lang w:eastAsia="en-SG"/>
        </w:rPr>
        <w:t>[54]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Justice Reyes is correct - </w:t>
      </w:r>
      <w:r w:rsidRPr="005F5F47">
        <w:rPr>
          <w:rFonts w:ascii="Times New Roman" w:eastAsia="Times New Roman" w:hAnsi="Times New Roman" w:cs="Times New Roman"/>
          <w:b/>
          <w:bCs/>
          <w:sz w:val="24"/>
          <w:szCs w:val="24"/>
          <w:lang w:eastAsia="en-SG"/>
        </w:rPr>
        <w:t>consistent with their respective mandates under EPIRA</w:t>
      </w:r>
      <w:r w:rsidRPr="005F5F47">
        <w:rPr>
          <w:rFonts w:ascii="Times New Roman" w:eastAsia="Times New Roman" w:hAnsi="Times New Roman" w:cs="Times New Roman"/>
          <w:sz w:val="24"/>
          <w:szCs w:val="24"/>
          <w:lang w:eastAsia="en-SG"/>
        </w:rPr>
        <w:t xml:space="preserve">, the DOE and the ERC agreed that the ERC shall issue the appropriate regulation </w:t>
      </w:r>
      <w:r w:rsidRPr="005F5F47">
        <w:rPr>
          <w:rFonts w:ascii="Times New Roman" w:eastAsia="Times New Roman" w:hAnsi="Times New Roman" w:cs="Times New Roman"/>
          <w:b/>
          <w:bCs/>
          <w:sz w:val="24"/>
          <w:szCs w:val="24"/>
          <w:lang w:eastAsia="en-SG"/>
        </w:rPr>
        <w:t>to implement</w:t>
      </w:r>
      <w:r w:rsidRPr="005F5F47">
        <w:rPr>
          <w:rFonts w:ascii="Times New Roman" w:eastAsia="Times New Roman" w:hAnsi="Times New Roman" w:cs="Times New Roman"/>
          <w:sz w:val="24"/>
          <w:szCs w:val="24"/>
          <w:lang w:eastAsia="en-SG"/>
        </w:rPr>
        <w:t xml:space="preserve"> CSP in accordance with the 2015 DOE Circular.</w:t>
      </w:r>
      <w:r w:rsidRPr="005F5F47">
        <w:rPr>
          <w:rFonts w:ascii="Times New Roman" w:eastAsia="Times New Roman" w:hAnsi="Times New Roman" w:cs="Times New Roman"/>
          <w:color w:val="FF0000"/>
          <w:sz w:val="24"/>
          <w:szCs w:val="24"/>
          <w:vertAlign w:val="superscript"/>
          <w:lang w:eastAsia="en-SG"/>
        </w:rPr>
        <w:t>[55]</w:t>
      </w:r>
      <w:r w:rsidRPr="005F5F47">
        <w:rPr>
          <w:rFonts w:ascii="Times New Roman" w:eastAsia="Times New Roman" w:hAnsi="Times New Roman" w:cs="Times New Roman"/>
          <w:sz w:val="24"/>
          <w:szCs w:val="24"/>
          <w:lang w:eastAsia="en-SG"/>
        </w:rPr>
        <w:t xml:space="preserve"> However, the ERC's delegated authority is limited </w:t>
      </w:r>
      <w:r w:rsidRPr="005F5F47">
        <w:rPr>
          <w:rFonts w:ascii="Times New Roman" w:eastAsia="Times New Roman" w:hAnsi="Times New Roman" w:cs="Times New Roman"/>
          <w:b/>
          <w:bCs/>
          <w:sz w:val="24"/>
          <w:szCs w:val="24"/>
          <w:lang w:eastAsia="en-SG"/>
        </w:rPr>
        <w:t>to implementing or executing</w:t>
      </w:r>
      <w:r w:rsidRPr="005F5F47">
        <w:rPr>
          <w:rFonts w:ascii="Times New Roman" w:eastAsia="Times New Roman" w:hAnsi="Times New Roman" w:cs="Times New Roman"/>
          <w:sz w:val="24"/>
          <w:szCs w:val="24"/>
          <w:lang w:eastAsia="en-SG"/>
        </w:rPr>
        <w:t xml:space="preserve"> CSP in accordance with the 2015 DOE Circular, </w:t>
      </w:r>
      <w:r w:rsidRPr="005F5F47">
        <w:rPr>
          <w:rFonts w:ascii="Times New Roman" w:eastAsia="Times New Roman" w:hAnsi="Times New Roman" w:cs="Times New Roman"/>
          <w:b/>
          <w:bCs/>
          <w:i/>
          <w:iCs/>
          <w:sz w:val="24"/>
          <w:szCs w:val="24"/>
          <w:lang w:eastAsia="en-SG"/>
        </w:rPr>
        <w:t>not postponing</w:t>
      </w:r>
      <w:r w:rsidRPr="005F5F47">
        <w:rPr>
          <w:rFonts w:ascii="Times New Roman" w:eastAsia="Times New Roman" w:hAnsi="Times New Roman" w:cs="Times New Roman"/>
          <w:sz w:val="24"/>
          <w:szCs w:val="24"/>
          <w:lang w:eastAsia="en-SG"/>
        </w:rPr>
        <w:t xml:space="preserve"> CSP so as to freeze CSP for at least 20 years, effectively suspending CSP for one entire generation of Filipinos. The delegated authority </w:t>
      </w:r>
      <w:r w:rsidRPr="005F5F47">
        <w:rPr>
          <w:rFonts w:ascii="Times New Roman" w:eastAsia="Times New Roman" w:hAnsi="Times New Roman" w:cs="Times New Roman"/>
          <w:b/>
          <w:bCs/>
          <w:sz w:val="24"/>
          <w:szCs w:val="24"/>
          <w:lang w:eastAsia="en-SG"/>
        </w:rPr>
        <w:t>to implement</w:t>
      </w:r>
      <w:r w:rsidRPr="005F5F47">
        <w:rPr>
          <w:rFonts w:ascii="Times New Roman" w:eastAsia="Times New Roman" w:hAnsi="Times New Roman" w:cs="Times New Roman"/>
          <w:sz w:val="24"/>
          <w:szCs w:val="24"/>
          <w:lang w:eastAsia="en-SG"/>
        </w:rPr>
        <w:t xml:space="preserve"> CSP does not include the authority </w:t>
      </w:r>
      <w:r w:rsidRPr="005F5F47">
        <w:rPr>
          <w:rFonts w:ascii="Times New Roman" w:eastAsia="Times New Roman" w:hAnsi="Times New Roman" w:cs="Times New Roman"/>
          <w:b/>
          <w:bCs/>
          <w:sz w:val="24"/>
          <w:szCs w:val="24"/>
          <w:lang w:eastAsia="en-SG"/>
        </w:rPr>
        <w:t>to postpone or suspend</w:t>
      </w:r>
      <w:r w:rsidRPr="005F5F47">
        <w:rPr>
          <w:rFonts w:ascii="Times New Roman" w:eastAsia="Times New Roman" w:hAnsi="Times New Roman" w:cs="Times New Roman"/>
          <w:sz w:val="24"/>
          <w:szCs w:val="24"/>
          <w:lang w:eastAsia="en-SG"/>
        </w:rPr>
        <w:t xml:space="preserve"> CSP for 20 years, beyond the seven-year terms of </w:t>
      </w:r>
      <w:proofErr w:type="gramStart"/>
      <w:r w:rsidRPr="005F5F47">
        <w:rPr>
          <w:rFonts w:ascii="Times New Roman" w:eastAsia="Times New Roman" w:hAnsi="Times New Roman" w:cs="Times New Roman"/>
          <w:sz w:val="24"/>
          <w:szCs w:val="24"/>
          <w:lang w:eastAsia="en-SG"/>
        </w:rPr>
        <w:t>office</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56]</w:t>
      </w:r>
      <w:r w:rsidRPr="005F5F47">
        <w:rPr>
          <w:rFonts w:ascii="Times New Roman" w:eastAsia="Times New Roman" w:hAnsi="Times New Roman" w:cs="Times New Roman"/>
          <w:sz w:val="24"/>
          <w:szCs w:val="24"/>
          <w:lang w:eastAsia="en-SG"/>
        </w:rPr>
        <w:t xml:space="preserve"> of the ERC Commissioners postponing or suspending the CSP, and beyond the seven-year terms of office of their next successors, as well as beyond the six-year terms of office of three Presidents of the Republic.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ERC's exercise of its quasi-legislative power, which took the form of the issuance of the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 was done in excess of its jurisdiction. </w:t>
      </w:r>
      <w:r w:rsidRPr="005F5F47">
        <w:rPr>
          <w:rFonts w:ascii="Times New Roman" w:eastAsia="Times New Roman" w:hAnsi="Times New Roman" w:cs="Times New Roman"/>
          <w:b/>
          <w:bCs/>
          <w:sz w:val="24"/>
          <w:szCs w:val="24"/>
          <w:lang w:eastAsia="en-SG"/>
        </w:rPr>
        <w:t xml:space="preserve">The postponement of the effectivity of CSP was without the approval, and even without coordination with the DOE, in clear and blatant violation of Section 4 of the 2015 DOE Circular mandating </w:t>
      </w:r>
      <w:r w:rsidRPr="005F5F47">
        <w:rPr>
          <w:rFonts w:ascii="Times New Roman" w:eastAsia="Times New Roman" w:hAnsi="Times New Roman" w:cs="Times New Roman"/>
          <w:b/>
          <w:bCs/>
          <w:sz w:val="24"/>
          <w:szCs w:val="24"/>
          <w:lang w:eastAsia="en-SG"/>
        </w:rPr>
        <w:lastRenderedPageBreak/>
        <w:t>CSP.</w:t>
      </w:r>
      <w:r w:rsidRPr="005F5F47">
        <w:rPr>
          <w:rFonts w:ascii="Times New Roman" w:eastAsia="Times New Roman" w:hAnsi="Times New Roman" w:cs="Times New Roman"/>
          <w:sz w:val="24"/>
          <w:szCs w:val="24"/>
          <w:lang w:eastAsia="en-SG"/>
        </w:rPr>
        <w:t xml:space="preserve"> The ERC has no power to postpone the effectivity of the 2015 DOE Circular. Under the 2015 DOE Circular, the ERC can only issue supplemental guidelines, which means guidelines to implement the 2015 DOE Circular, and not to amend it. Postponing the effectivity of CSP amends the 2015 DOE Circular, and does not constitute issuance of mere supplemental guidelines.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 xml:space="preserve">The issuance of the ERC </w:t>
      </w:r>
      <w:proofErr w:type="spellStart"/>
      <w:r w:rsidRPr="005F5F47">
        <w:rPr>
          <w:rFonts w:ascii="Times New Roman" w:eastAsia="Times New Roman" w:hAnsi="Times New Roman" w:cs="Times New Roman"/>
          <w:b/>
          <w:bCs/>
          <w:sz w:val="24"/>
          <w:szCs w:val="24"/>
          <w:lang w:eastAsia="en-SG"/>
        </w:rPr>
        <w:t>Clarificatory</w:t>
      </w:r>
      <w:proofErr w:type="spellEnd"/>
      <w:r w:rsidRPr="005F5F47">
        <w:rPr>
          <w:rFonts w:ascii="Times New Roman" w:eastAsia="Times New Roman" w:hAnsi="Times New Roman" w:cs="Times New Roman"/>
          <w:b/>
          <w:bCs/>
          <w:sz w:val="24"/>
          <w:szCs w:val="24"/>
          <w:lang w:eastAsia="en-SG"/>
        </w:rPr>
        <w:t xml:space="preserve"> Resolution was attended with grave abuse of discretion amounting to lack or excess of jurisdiction for the following reasons:</w:t>
      </w:r>
    </w:p>
    <w:tbl>
      <w:tblPr>
        <w:tblW w:w="5000" w:type="pct"/>
        <w:tblCellSpacing w:w="0" w:type="dxa"/>
        <w:tblCellMar>
          <w:left w:w="0" w:type="dxa"/>
          <w:right w:w="0" w:type="dxa"/>
        </w:tblCellMar>
        <w:tblLook w:val="04A0" w:firstRow="1" w:lastRow="0" w:firstColumn="1" w:lastColumn="0" w:noHBand="0" w:noVBand="1"/>
      </w:tblPr>
      <w:tblGrid>
        <w:gridCol w:w="451"/>
        <w:gridCol w:w="8575"/>
      </w:tblGrid>
      <w:tr w:rsidR="005F5F47" w:rsidRPr="005F5F47" w:rsidTr="005F5F47">
        <w:trPr>
          <w:tblCellSpacing w:w="0" w:type="dxa"/>
        </w:trPr>
        <w:tc>
          <w:tcPr>
            <w:tcW w:w="2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 xml:space="preserve">(1) </w:t>
            </w:r>
          </w:p>
        </w:tc>
        <w:tc>
          <w:tcPr>
            <w:tcW w:w="47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Postponing the effectivity of CSP from 30 June 2015 to 7 November 2015, and again postponing the effectivity of CSP from 7 November 2015 to 30 April 2016, or a total of 305 days, allowed DUs nationwide to avoid the mandatory CSP;</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 xml:space="preserve">(2) </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Postponing the effectivity of CSP effectively freezes for at least 20years the DOE-mandated CSP to the great prejudice of the public. The purpose of CSP is to compel DUs to purchase their electric power at a transparent, reasonable, and least-cost basis, since this cost is entirely passed on to consumers. The ERC's postponement unconscionably placed this public purpose in deep freeze for at least 20 years.</w:t>
            </w:r>
          </w:p>
        </w:tc>
      </w:tr>
    </w:tbl>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br/>
        <w:t>Indisputably, the ERC committed grave abuse of discretion amounting to lack or excess of jurisdiction when the ERC postponed the effectivity of CSP. The postponement effectively prevented for at least 20 years the enforcement of a mechanism intended to ensure "</w:t>
      </w:r>
      <w:r w:rsidRPr="005F5F47">
        <w:rPr>
          <w:rFonts w:ascii="Times New Roman" w:eastAsia="Times New Roman" w:hAnsi="Times New Roman" w:cs="Times New Roman"/>
          <w:b/>
          <w:bCs/>
          <w:i/>
          <w:iCs/>
          <w:sz w:val="24"/>
          <w:szCs w:val="24"/>
          <w:lang w:eastAsia="en-SG"/>
        </w:rPr>
        <w:t>transparent and reasonable prices in a regime of free and fair competition</w:t>
      </w:r>
      <w:r w:rsidRPr="005F5F47">
        <w:rPr>
          <w:rFonts w:ascii="Times New Roman" w:eastAsia="Times New Roman" w:hAnsi="Times New Roman" w:cs="Times New Roman"/>
          <w:b/>
          <w:bCs/>
          <w:sz w:val="24"/>
          <w:szCs w:val="24"/>
          <w:lang w:eastAsia="en-SG"/>
        </w:rPr>
        <w:t>," as mandated by law under EPIRA, a mechanism implemented in the 2015 DOE Circular which took effect on 30 June 2015.</w:t>
      </w:r>
      <w:r w:rsidRPr="005F5F47">
        <w:rPr>
          <w:rFonts w:ascii="Times New Roman" w:eastAsia="Times New Roman" w:hAnsi="Times New Roman" w:cs="Times New Roman"/>
          <w:b/>
          <w:bCs/>
          <w:sz w:val="24"/>
          <w:szCs w:val="24"/>
          <w:lang w:eastAsia="en-SG"/>
        </w:rPr>
        <w:br/>
      </w:r>
      <w:r w:rsidRPr="005F5F47">
        <w:rPr>
          <w:rFonts w:ascii="Times New Roman" w:eastAsia="Times New Roman" w:hAnsi="Times New Roman" w:cs="Times New Roman"/>
          <w:b/>
          <w:bCs/>
          <w:sz w:val="24"/>
          <w:szCs w:val="24"/>
          <w:lang w:eastAsia="en-SG"/>
        </w:rPr>
        <w:br/>
        <w:t>In short, in the absence of CSP, there is no transparency in the purchase by DUs of electric power, and thus there is no assurance of the reasonableness of the power rates charged to consumers. As a consequence, all PSA applications submitted to the ERC on or after 30 June 2015 should be deemed not submitted and should be made to comply with CSP.</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i/>
          <w:iCs/>
          <w:sz w:val="24"/>
          <w:szCs w:val="24"/>
          <w:lang w:eastAsia="en-SG"/>
        </w:rPr>
        <w:t>Why the ERC Acted in Excess of its Jurisdiction: Purpose of CSP and Significance of the Postponement of the CSP Deadline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proofErr w:type="gramStart"/>
      <w:r w:rsidRPr="005F5F47">
        <w:rPr>
          <w:rFonts w:ascii="Times New Roman" w:eastAsia="Times New Roman" w:hAnsi="Times New Roman" w:cs="Times New Roman"/>
          <w:sz w:val="24"/>
          <w:szCs w:val="24"/>
          <w:lang w:eastAsia="en-SG"/>
        </w:rPr>
        <w:t>The</w:t>
      </w:r>
      <w:proofErr w:type="gramEnd"/>
      <w:r w:rsidRPr="005F5F47">
        <w:rPr>
          <w:rFonts w:ascii="Times New Roman" w:eastAsia="Times New Roman" w:hAnsi="Times New Roman" w:cs="Times New Roman"/>
          <w:sz w:val="24"/>
          <w:szCs w:val="24"/>
          <w:lang w:eastAsia="en-SG"/>
        </w:rPr>
        <w:t xml:space="preserve"> EPIRA was enacted on 8 June 2001. Among the EPIRA's declared State policies are, as stated in its Section 2</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57]</w:t>
      </w:r>
    </w:p>
    <w:tbl>
      <w:tblPr>
        <w:tblW w:w="5000" w:type="pct"/>
        <w:tblCellSpacing w:w="0" w:type="dxa"/>
        <w:tblCellMar>
          <w:left w:w="0" w:type="dxa"/>
          <w:right w:w="0" w:type="dxa"/>
        </w:tblCellMar>
        <w:tblLook w:val="04A0" w:firstRow="1" w:lastRow="0" w:firstColumn="1" w:lastColumn="0" w:noHBand="0" w:noVBand="1"/>
      </w:tblPr>
      <w:tblGrid>
        <w:gridCol w:w="451"/>
        <w:gridCol w:w="8575"/>
      </w:tblGrid>
      <w:tr w:rsidR="005F5F47" w:rsidRPr="005F5F47" w:rsidTr="005F5F47">
        <w:trPr>
          <w:tblCellSpacing w:w="0" w:type="dxa"/>
        </w:trPr>
        <w:tc>
          <w:tcPr>
            <w:tcW w:w="0" w:type="auto"/>
            <w:gridSpan w:val="2"/>
            <w:hideMark/>
          </w:tcPr>
          <w:p w:rsidR="005F5F47" w:rsidRPr="005F5F47" w:rsidRDefault="005F5F47" w:rsidP="005F5F47">
            <w:pPr>
              <w:spacing w:after="0" w:line="240" w:lineRule="auto"/>
              <w:divId w:val="1465199729"/>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p>
        </w:tc>
      </w:tr>
      <w:tr w:rsidR="005F5F47" w:rsidRPr="005F5F47" w:rsidTr="005F5F47">
        <w:trPr>
          <w:tblCellSpacing w:w="0" w:type="dxa"/>
        </w:trPr>
        <w:tc>
          <w:tcPr>
            <w:tcW w:w="2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47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(b)</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 xml:space="preserve">To ensure the quality, reliability, security and </w:t>
            </w:r>
            <w:r w:rsidRPr="005F5F47">
              <w:rPr>
                <w:rFonts w:ascii="Times New Roman" w:eastAsia="Times New Roman" w:hAnsi="Times New Roman" w:cs="Times New Roman"/>
                <w:b/>
                <w:bCs/>
                <w:i/>
                <w:iCs/>
                <w:sz w:val="24"/>
                <w:szCs w:val="24"/>
                <w:lang w:eastAsia="en-SG"/>
              </w:rPr>
              <w:t>affordability</w:t>
            </w:r>
            <w:r w:rsidRPr="005F5F47">
              <w:rPr>
                <w:rFonts w:ascii="Times New Roman" w:eastAsia="Times New Roman" w:hAnsi="Times New Roman" w:cs="Times New Roman"/>
                <w:b/>
                <w:bCs/>
                <w:sz w:val="24"/>
                <w:szCs w:val="24"/>
                <w:lang w:eastAsia="en-SG"/>
              </w:rPr>
              <w:t xml:space="preserve"> of the supply of electric power;</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(c) </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 xml:space="preserve">To </w:t>
            </w:r>
            <w:r w:rsidRPr="005F5F47">
              <w:rPr>
                <w:rFonts w:ascii="Times New Roman" w:eastAsia="Times New Roman" w:hAnsi="Times New Roman" w:cs="Times New Roman"/>
                <w:b/>
                <w:bCs/>
                <w:i/>
                <w:iCs/>
                <w:sz w:val="24"/>
                <w:szCs w:val="24"/>
                <w:lang w:eastAsia="en-SG"/>
              </w:rPr>
              <w:t>ensure transparent and reasonable prices of electricity in a regime of free and fair competition</w:t>
            </w:r>
            <w:r w:rsidRPr="005F5F47">
              <w:rPr>
                <w:rFonts w:ascii="Times New Roman" w:eastAsia="Times New Roman" w:hAnsi="Times New Roman" w:cs="Times New Roman"/>
                <w:b/>
                <w:bCs/>
                <w:sz w:val="24"/>
                <w:szCs w:val="24"/>
                <w:lang w:eastAsia="en-SG"/>
              </w:rPr>
              <w:t xml:space="preserve"> and full public accountability to achieve greater operational and economic efficiency and enhance the competitiveness of Philippine products in the global market;</w:t>
            </w:r>
            <w:r w:rsidRPr="005F5F47">
              <w:rPr>
                <w:rFonts w:ascii="Times New Roman" w:eastAsia="Times New Roman" w:hAnsi="Times New Roman" w:cs="Times New Roman"/>
                <w:sz w:val="24"/>
                <w:szCs w:val="24"/>
                <w:lang w:eastAsia="en-SG"/>
              </w:rPr>
              <w:t xml:space="preserve"> [and]</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gridSpan w:val="2"/>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lastRenderedPageBreak/>
              <w:t xml:space="preserve">(f) </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To protect the public interest as it is affected by the rates and services of electric utilities and other providers of electric power;</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gridSpan w:val="2"/>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(Boldfacing and italicization added)</w:t>
            </w:r>
          </w:p>
        </w:tc>
      </w:tr>
    </w:tbl>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The EPIRA mandates the DOE to "supervise the restructuring of the electricity industry."</w:t>
      </w:r>
      <w:r w:rsidRPr="005F5F47">
        <w:rPr>
          <w:rFonts w:ascii="Times New Roman" w:eastAsia="Times New Roman" w:hAnsi="Times New Roman" w:cs="Times New Roman"/>
          <w:color w:val="FF0000"/>
          <w:sz w:val="24"/>
          <w:szCs w:val="24"/>
          <w:vertAlign w:val="superscript"/>
          <w:lang w:eastAsia="en-SG"/>
        </w:rPr>
        <w:t>[58]</w:t>
      </w:r>
      <w:r w:rsidRPr="005F5F47">
        <w:rPr>
          <w:rFonts w:ascii="Times New Roman" w:eastAsia="Times New Roman" w:hAnsi="Times New Roman" w:cs="Times New Roman"/>
          <w:sz w:val="24"/>
          <w:szCs w:val="24"/>
          <w:lang w:eastAsia="en-SG"/>
        </w:rPr>
        <w:t xml:space="preserve"> The EPIRA amended Section 5 of Republic Act No. 7638, or "The Department of Energy Act of 1992," to allow the DOE to </w:t>
      </w:r>
      <w:proofErr w:type="spellStart"/>
      <w:r w:rsidRPr="005F5F47">
        <w:rPr>
          <w:rFonts w:ascii="Times New Roman" w:eastAsia="Times New Roman" w:hAnsi="Times New Roman" w:cs="Times New Roman"/>
          <w:sz w:val="24"/>
          <w:szCs w:val="24"/>
          <w:lang w:eastAsia="en-SG"/>
        </w:rPr>
        <w:t>fulfill</w:t>
      </w:r>
      <w:proofErr w:type="spellEnd"/>
      <w:r w:rsidRPr="005F5F47">
        <w:rPr>
          <w:rFonts w:ascii="Times New Roman" w:eastAsia="Times New Roman" w:hAnsi="Times New Roman" w:cs="Times New Roman"/>
          <w:sz w:val="24"/>
          <w:szCs w:val="24"/>
          <w:lang w:eastAsia="en-SG"/>
        </w:rPr>
        <w:t xml:space="preserve"> this new mandate under the EPIRA.</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More importantly, Section 37 of the EPIRA includes the following in its enumeration of the DOE's powers and functions:</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(a) </w:t>
      </w:r>
      <w:r w:rsidRPr="005F5F47">
        <w:rPr>
          <w:rFonts w:ascii="Times New Roman" w:eastAsia="Times New Roman" w:hAnsi="Times New Roman" w:cs="Times New Roman"/>
          <w:b/>
          <w:bCs/>
          <w:sz w:val="24"/>
          <w:szCs w:val="24"/>
          <w:lang w:eastAsia="en-SG"/>
        </w:rPr>
        <w:t>Formulate policies for the planning and implementation of a comprehensive program for the efficient supply and economical use of energy consistent with the approved national economic plan</w:t>
      </w:r>
      <w:r w:rsidRPr="005F5F47">
        <w:rPr>
          <w:rFonts w:ascii="Times New Roman" w:eastAsia="Times New Roman" w:hAnsi="Times New Roman" w:cs="Times New Roman"/>
          <w:sz w:val="24"/>
          <w:szCs w:val="24"/>
          <w:lang w:eastAsia="en-SG"/>
        </w:rPr>
        <w:t xml:space="preserve">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and provide a mechanism for the integration, rationalization, and coordination of the various energy programs of the Government</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(d) </w:t>
      </w:r>
      <w:r w:rsidRPr="005F5F47">
        <w:rPr>
          <w:rFonts w:ascii="Times New Roman" w:eastAsia="Times New Roman" w:hAnsi="Times New Roman" w:cs="Times New Roman"/>
          <w:b/>
          <w:bCs/>
          <w:sz w:val="24"/>
          <w:szCs w:val="24"/>
          <w:lang w:eastAsia="en-SG"/>
        </w:rPr>
        <w:t>Ensure the reliability, quality and security of supply of electric power;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(e)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[T]he DOE shall, among others,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proofErr w:type="gramStart"/>
      <w:r w:rsidRPr="005F5F47">
        <w:rPr>
          <w:rFonts w:ascii="Times New Roman" w:eastAsia="Times New Roman" w:hAnsi="Times New Roman" w:cs="Times New Roman"/>
          <w:sz w:val="24"/>
          <w:szCs w:val="24"/>
          <w:lang w:eastAsia="en-SG"/>
        </w:rPr>
        <w:t>x</w:t>
      </w:r>
      <w:proofErr w:type="spellEnd"/>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(ii) </w:t>
      </w:r>
      <w:r w:rsidRPr="005F5F47">
        <w:rPr>
          <w:rFonts w:ascii="Times New Roman" w:eastAsia="Times New Roman" w:hAnsi="Times New Roman" w:cs="Times New Roman"/>
          <w:b/>
          <w:bCs/>
          <w:sz w:val="24"/>
          <w:szCs w:val="24"/>
          <w:lang w:eastAsia="en-SG"/>
        </w:rPr>
        <w:t>Facilitate and encourage reforms in the structure and operations of distribution utilities for greater efficiency and lower costs;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(h) </w:t>
      </w:r>
      <w:r w:rsidRPr="005F5F47">
        <w:rPr>
          <w:rFonts w:ascii="Times New Roman" w:eastAsia="Times New Roman" w:hAnsi="Times New Roman" w:cs="Times New Roman"/>
          <w:b/>
          <w:bCs/>
          <w:sz w:val="24"/>
          <w:szCs w:val="24"/>
          <w:lang w:eastAsia="en-SG"/>
        </w:rPr>
        <w:t>Exercise supervision and control over all government activities relative to energy projects in order to attain the goals embodied in Section 2 of RA 7638;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(p) </w:t>
      </w:r>
      <w:r w:rsidRPr="005F5F47">
        <w:rPr>
          <w:rFonts w:ascii="Times New Roman" w:eastAsia="Times New Roman" w:hAnsi="Times New Roman" w:cs="Times New Roman"/>
          <w:b/>
          <w:bCs/>
          <w:i/>
          <w:iCs/>
          <w:sz w:val="24"/>
          <w:szCs w:val="24"/>
          <w:lang w:eastAsia="en-SG"/>
        </w:rPr>
        <w:t>Formulate such rules and regulations as may be necessary to implement the objectives of this Act</w:t>
      </w:r>
      <w:r w:rsidRPr="005F5F47">
        <w:rPr>
          <w:rFonts w:ascii="Times New Roman" w:eastAsia="Times New Roman" w:hAnsi="Times New Roman" w:cs="Times New Roman"/>
          <w:b/>
          <w:bCs/>
          <w:sz w:val="24"/>
          <w:szCs w:val="24"/>
          <w:lang w:eastAsia="en-SG"/>
        </w:rPr>
        <w:t>;</w:t>
      </w:r>
      <w:r w:rsidRPr="005F5F47">
        <w:rPr>
          <w:rFonts w:ascii="Times New Roman" w:eastAsia="Times New Roman" w:hAnsi="Times New Roman" w:cs="Times New Roman"/>
          <w:sz w:val="24"/>
          <w:szCs w:val="24"/>
          <w:lang w:eastAsia="en-SG"/>
        </w:rPr>
        <w:t xml:space="preserve">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(Boldfacing and italicization added)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Under the EPIRA, it is the DOE that issues the rules and regulations to implement the EPIRA, including the implementation of the policy objectives stated in Section 2</w:t>
      </w:r>
      <w:r w:rsidRPr="005F5F47">
        <w:rPr>
          <w:rFonts w:ascii="Times New Roman" w:eastAsia="Times New Roman" w:hAnsi="Times New Roman" w:cs="Times New Roman"/>
          <w:color w:val="FF0000"/>
          <w:sz w:val="24"/>
          <w:szCs w:val="24"/>
          <w:vertAlign w:val="superscript"/>
          <w:lang w:eastAsia="en-SG"/>
        </w:rPr>
        <w:t>[59]</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lang w:eastAsia="en-SG"/>
        </w:rPr>
        <w:t>of the EPIRA. Rules and regulations include circulars that have the force and effect of rules or regulations. Thus, pursuant to its powers and functions under the EPIRA, the DOE issued the 2015 DOE Circular mandating the conduct of CSP.</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The 2015 DOE Circular, as stated in its very provisions, was issued pursuant to the DOE's power to "formulate such rules and regulations as may be necessary to implement the objectives of the EPIRA,"</w:t>
      </w:r>
      <w:r w:rsidRPr="005F5F47">
        <w:rPr>
          <w:rFonts w:ascii="Times New Roman" w:eastAsia="Times New Roman" w:hAnsi="Times New Roman" w:cs="Times New Roman"/>
          <w:color w:val="FF0000"/>
          <w:sz w:val="24"/>
          <w:szCs w:val="24"/>
          <w:vertAlign w:val="superscript"/>
          <w:lang w:eastAsia="en-SG"/>
        </w:rPr>
        <w:t>[60]</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lang w:eastAsia="en-SG"/>
        </w:rPr>
        <w:t>where the State policy is to "[p]</w:t>
      </w:r>
      <w:proofErr w:type="spellStart"/>
      <w:r w:rsidRPr="005F5F47">
        <w:rPr>
          <w:rFonts w:ascii="Times New Roman" w:eastAsia="Times New Roman" w:hAnsi="Times New Roman" w:cs="Times New Roman"/>
          <w:b/>
          <w:bCs/>
          <w:sz w:val="24"/>
          <w:szCs w:val="24"/>
          <w:lang w:eastAsia="en-SG"/>
        </w:rPr>
        <w:t>rotect</w:t>
      </w:r>
      <w:proofErr w:type="spellEnd"/>
      <w:r w:rsidRPr="005F5F47">
        <w:rPr>
          <w:rFonts w:ascii="Times New Roman" w:eastAsia="Times New Roman" w:hAnsi="Times New Roman" w:cs="Times New Roman"/>
          <w:b/>
          <w:bCs/>
          <w:sz w:val="24"/>
          <w:szCs w:val="24"/>
          <w:lang w:eastAsia="en-SG"/>
        </w:rPr>
        <w:t xml:space="preserve"> the public interest as it is affected by the rates and services of electric utilities and other providers of electric power."</w:t>
      </w:r>
      <w:r w:rsidRPr="005F5F47">
        <w:rPr>
          <w:rFonts w:ascii="Times New Roman" w:eastAsia="Times New Roman" w:hAnsi="Times New Roman" w:cs="Times New Roman"/>
          <w:color w:val="FF0000"/>
          <w:sz w:val="24"/>
          <w:szCs w:val="24"/>
          <w:vertAlign w:val="superscript"/>
          <w:lang w:eastAsia="en-SG"/>
        </w:rPr>
        <w:t>[61]</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lang w:eastAsia="en-SG"/>
        </w:rPr>
        <w:t xml:space="preserve">Under the EPIRA, it is also the State policy to "ensure the x </w:t>
      </w:r>
      <w:proofErr w:type="spellStart"/>
      <w:r w:rsidRPr="005F5F47">
        <w:rPr>
          <w:rFonts w:ascii="Times New Roman" w:eastAsia="Times New Roman" w:hAnsi="Times New Roman" w:cs="Times New Roman"/>
          <w:b/>
          <w:bCs/>
          <w:sz w:val="24"/>
          <w:szCs w:val="24"/>
          <w:lang w:eastAsia="en-SG"/>
        </w:rPr>
        <w:t>x</w:t>
      </w:r>
      <w:proofErr w:type="spellEnd"/>
      <w:r w:rsidRPr="005F5F47">
        <w:rPr>
          <w:rFonts w:ascii="Times New Roman" w:eastAsia="Times New Roman" w:hAnsi="Times New Roman" w:cs="Times New Roman"/>
          <w:b/>
          <w:bCs/>
          <w:sz w:val="24"/>
          <w:szCs w:val="24"/>
          <w:lang w:eastAsia="en-SG"/>
        </w:rPr>
        <w:t xml:space="preserve"> </w:t>
      </w:r>
      <w:proofErr w:type="spellStart"/>
      <w:r w:rsidRPr="005F5F47">
        <w:rPr>
          <w:rFonts w:ascii="Times New Roman" w:eastAsia="Times New Roman" w:hAnsi="Times New Roman" w:cs="Times New Roman"/>
          <w:b/>
          <w:bCs/>
          <w:sz w:val="24"/>
          <w:szCs w:val="24"/>
          <w:lang w:eastAsia="en-SG"/>
        </w:rPr>
        <w:t>x</w:t>
      </w:r>
      <w:proofErr w:type="spellEnd"/>
      <w:r w:rsidRPr="005F5F47">
        <w:rPr>
          <w:rFonts w:ascii="Times New Roman" w:eastAsia="Times New Roman" w:hAnsi="Times New Roman" w:cs="Times New Roman"/>
          <w:b/>
          <w:bCs/>
          <w:sz w:val="24"/>
          <w:szCs w:val="24"/>
          <w:lang w:eastAsia="en-SG"/>
        </w:rPr>
        <w:t xml:space="preserve"> </w:t>
      </w:r>
      <w:r w:rsidRPr="005F5F47">
        <w:rPr>
          <w:rFonts w:ascii="Times New Roman" w:eastAsia="Times New Roman" w:hAnsi="Times New Roman" w:cs="Times New Roman"/>
          <w:b/>
          <w:bCs/>
          <w:i/>
          <w:iCs/>
          <w:sz w:val="24"/>
          <w:szCs w:val="24"/>
          <w:lang w:eastAsia="en-SG"/>
        </w:rPr>
        <w:t>affordability</w:t>
      </w:r>
      <w:r w:rsidRPr="005F5F47">
        <w:rPr>
          <w:rFonts w:ascii="Times New Roman" w:eastAsia="Times New Roman" w:hAnsi="Times New Roman" w:cs="Times New Roman"/>
          <w:b/>
          <w:bCs/>
          <w:sz w:val="24"/>
          <w:szCs w:val="24"/>
          <w:lang w:eastAsia="en-SG"/>
        </w:rPr>
        <w:t xml:space="preserve"> of the supply of electric power."</w:t>
      </w:r>
      <w:r w:rsidRPr="005F5F47">
        <w:rPr>
          <w:rFonts w:ascii="Times New Roman" w:eastAsia="Times New Roman" w:hAnsi="Times New Roman" w:cs="Times New Roman"/>
          <w:color w:val="FF0000"/>
          <w:sz w:val="24"/>
          <w:szCs w:val="24"/>
          <w:vertAlign w:val="superscript"/>
          <w:lang w:eastAsia="en-SG"/>
        </w:rPr>
        <w:t>[62]</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lang w:eastAsia="en-SG"/>
        </w:rPr>
        <w:t xml:space="preserve">The purpose of the 2015 DOE </w:t>
      </w:r>
      <w:r w:rsidRPr="005F5F47">
        <w:rPr>
          <w:rFonts w:ascii="Times New Roman" w:eastAsia="Times New Roman" w:hAnsi="Times New Roman" w:cs="Times New Roman"/>
          <w:b/>
          <w:bCs/>
          <w:sz w:val="24"/>
          <w:szCs w:val="24"/>
          <w:lang w:eastAsia="en-SG"/>
        </w:rPr>
        <w:lastRenderedPageBreak/>
        <w:t>Circular is to implement the State policies prescribed in the EPIRA. Clearly, the 2015 DOE Circular constitutes a rule or regulation issued by the DOE pursuant to its rule-making power under Section 37(p) of the EPIRA.</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EPIRA also provides for the powers and functions of the ERC. Section 43 of the EPIRA mandates that the ERC "shall be responsible for the following key functions in the restructured industry:"</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(a) </w:t>
      </w:r>
      <w:r w:rsidRPr="005F5F47">
        <w:rPr>
          <w:rFonts w:ascii="Times New Roman" w:eastAsia="Times New Roman" w:hAnsi="Times New Roman" w:cs="Times New Roman"/>
          <w:b/>
          <w:bCs/>
          <w:i/>
          <w:iCs/>
          <w:sz w:val="24"/>
          <w:szCs w:val="24"/>
          <w:lang w:eastAsia="en-SG"/>
        </w:rPr>
        <w:t>Enforce the implementing rules and regulations of this Act.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proofErr w:type="gramStart"/>
      <w:r w:rsidRPr="005F5F47">
        <w:rPr>
          <w:rFonts w:ascii="Times New Roman" w:eastAsia="Times New Roman" w:hAnsi="Times New Roman" w:cs="Times New Roman"/>
          <w:sz w:val="24"/>
          <w:szCs w:val="24"/>
          <w:lang w:eastAsia="en-SG"/>
        </w:rPr>
        <w:t>x</w:t>
      </w:r>
      <w:proofErr w:type="spellEnd"/>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(o) Monitor the activities in the generation and supply of the electric power industry with the end in view of promoting free market competition and </w:t>
      </w:r>
      <w:r w:rsidRPr="005F5F47">
        <w:rPr>
          <w:rFonts w:ascii="Times New Roman" w:eastAsia="Times New Roman" w:hAnsi="Times New Roman" w:cs="Times New Roman"/>
          <w:b/>
          <w:bCs/>
          <w:i/>
          <w:iCs/>
          <w:sz w:val="24"/>
          <w:szCs w:val="24"/>
          <w:lang w:eastAsia="en-SG"/>
        </w:rPr>
        <w:t>ensuring that the allocation or pass through of bulk purchase cost by distributors is transparent</w:t>
      </w:r>
      <w:r w:rsidRPr="005F5F47">
        <w:rPr>
          <w:rFonts w:ascii="Times New Roman" w:eastAsia="Times New Roman" w:hAnsi="Times New Roman" w:cs="Times New Roman"/>
          <w:b/>
          <w:bCs/>
          <w:sz w:val="24"/>
          <w:szCs w:val="24"/>
          <w:lang w:eastAsia="en-SG"/>
        </w:rPr>
        <w:t>, non-discriminatory and that any existing subsidies shall be divided pro-rata among all retail suppliers</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(Boldfacing and italicization added)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Thus, the very first mandate of the ERC under its charter, the EPIRA, is to "</w:t>
      </w:r>
      <w:r w:rsidRPr="005F5F47">
        <w:rPr>
          <w:rFonts w:ascii="Times New Roman" w:eastAsia="Times New Roman" w:hAnsi="Times New Roman" w:cs="Times New Roman"/>
          <w:b/>
          <w:bCs/>
          <w:i/>
          <w:iCs/>
          <w:sz w:val="24"/>
          <w:szCs w:val="24"/>
          <w:lang w:eastAsia="en-SG"/>
        </w:rPr>
        <w:t>[e]</w:t>
      </w:r>
      <w:proofErr w:type="spellStart"/>
      <w:r w:rsidRPr="005F5F47">
        <w:rPr>
          <w:rFonts w:ascii="Times New Roman" w:eastAsia="Times New Roman" w:hAnsi="Times New Roman" w:cs="Times New Roman"/>
          <w:b/>
          <w:bCs/>
          <w:i/>
          <w:iCs/>
          <w:sz w:val="24"/>
          <w:szCs w:val="24"/>
          <w:lang w:eastAsia="en-SG"/>
        </w:rPr>
        <w:t>nforce</w:t>
      </w:r>
      <w:proofErr w:type="spellEnd"/>
      <w:r w:rsidRPr="005F5F47">
        <w:rPr>
          <w:rFonts w:ascii="Times New Roman" w:eastAsia="Times New Roman" w:hAnsi="Times New Roman" w:cs="Times New Roman"/>
          <w:b/>
          <w:bCs/>
          <w:i/>
          <w:iCs/>
          <w:sz w:val="24"/>
          <w:szCs w:val="24"/>
          <w:lang w:eastAsia="en-SG"/>
        </w:rPr>
        <w:t xml:space="preserve"> the implementing rules and regulations</w:t>
      </w:r>
      <w:r w:rsidRPr="005F5F47">
        <w:rPr>
          <w:rFonts w:ascii="Times New Roman" w:eastAsia="Times New Roman" w:hAnsi="Times New Roman" w:cs="Times New Roman"/>
          <w:b/>
          <w:bCs/>
          <w:sz w:val="24"/>
          <w:szCs w:val="24"/>
          <w:lang w:eastAsia="en-SG"/>
        </w:rPr>
        <w:t xml:space="preserve">" </w:t>
      </w:r>
      <w:r w:rsidRPr="005F5F47">
        <w:rPr>
          <w:rFonts w:ascii="Times New Roman" w:eastAsia="Times New Roman" w:hAnsi="Times New Roman" w:cs="Times New Roman"/>
          <w:b/>
          <w:bCs/>
          <w:i/>
          <w:iCs/>
          <w:sz w:val="24"/>
          <w:szCs w:val="24"/>
          <w:lang w:eastAsia="en-SG"/>
        </w:rPr>
        <w:t>of the EPIRA as formulated and adopted by DOE</w:t>
      </w:r>
      <w:r w:rsidRPr="005F5F47">
        <w:rPr>
          <w:rFonts w:ascii="Times New Roman" w:eastAsia="Times New Roman" w:hAnsi="Times New Roman" w:cs="Times New Roman"/>
          <w:b/>
          <w:bCs/>
          <w:sz w:val="24"/>
          <w:szCs w:val="24"/>
          <w:lang w:eastAsia="en-SG"/>
        </w:rPr>
        <w:t xml:space="preserve">. Clearly, under the EPIRA, it is the DOE that formulates the policies, and issues the rules and regulations, to implement the EPIRA. </w:t>
      </w:r>
      <w:r w:rsidRPr="005F5F47">
        <w:rPr>
          <w:rFonts w:ascii="Times New Roman" w:eastAsia="Times New Roman" w:hAnsi="Times New Roman" w:cs="Times New Roman"/>
          <w:b/>
          <w:bCs/>
          <w:i/>
          <w:iCs/>
          <w:sz w:val="24"/>
          <w:szCs w:val="24"/>
          <w:lang w:eastAsia="en-SG"/>
        </w:rPr>
        <w:t>The function of the ERC is to enforce and implement the policies formulated, as well as the rules and regulations issued, by the DOE.</w:t>
      </w:r>
      <w:r w:rsidRPr="005F5F47">
        <w:rPr>
          <w:rFonts w:ascii="Times New Roman" w:eastAsia="Times New Roman" w:hAnsi="Times New Roman" w:cs="Times New Roman"/>
          <w:b/>
          <w:bCs/>
          <w:sz w:val="24"/>
          <w:szCs w:val="24"/>
          <w:lang w:eastAsia="en-SG"/>
        </w:rPr>
        <w:t xml:space="preserve"> The ERC has no power whatsoever to amend the implementing rules and regulations of the EPIRA as issued by the DOE. The ERC is further mandated under EPIRA to ensure that the "</w:t>
      </w:r>
      <w:r w:rsidRPr="005F5F47">
        <w:rPr>
          <w:rFonts w:ascii="Times New Roman" w:eastAsia="Times New Roman" w:hAnsi="Times New Roman" w:cs="Times New Roman"/>
          <w:b/>
          <w:bCs/>
          <w:i/>
          <w:iCs/>
          <w:sz w:val="24"/>
          <w:szCs w:val="24"/>
          <w:lang w:eastAsia="en-SG"/>
        </w:rPr>
        <w:t>pass through of bulk purchase cost by distributors is transparent [and] non-discriminatory</w:t>
      </w:r>
      <w:r w:rsidRPr="005F5F47">
        <w:rPr>
          <w:rFonts w:ascii="Times New Roman" w:eastAsia="Times New Roman" w:hAnsi="Times New Roman" w:cs="Times New Roman"/>
          <w:b/>
          <w:bCs/>
          <w:sz w:val="24"/>
          <w:szCs w:val="24"/>
          <w:lang w:eastAsia="en-SG"/>
        </w:rPr>
        <w:t>."</w:t>
      </w:r>
      <w:r w:rsidRPr="005F5F47">
        <w:rPr>
          <w:rFonts w:ascii="Times New Roman" w:eastAsia="Times New Roman" w:hAnsi="Times New Roman" w:cs="Times New Roman"/>
          <w:color w:val="FF0000"/>
          <w:sz w:val="24"/>
          <w:szCs w:val="24"/>
          <w:vertAlign w:val="superscript"/>
          <w:lang w:eastAsia="en-SG"/>
        </w:rPr>
        <w:t>[63</w:t>
      </w:r>
      <w:proofErr w:type="gramStart"/>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Despite the ERC's characterization as an "independent, quasi-judicial regulatory body,"</w:t>
      </w:r>
      <w:r w:rsidRPr="005F5F47">
        <w:rPr>
          <w:rFonts w:ascii="Times New Roman" w:eastAsia="Times New Roman" w:hAnsi="Times New Roman" w:cs="Times New Roman"/>
          <w:color w:val="FF0000"/>
          <w:sz w:val="24"/>
          <w:szCs w:val="24"/>
          <w:vertAlign w:val="superscript"/>
          <w:lang w:eastAsia="en-SG"/>
        </w:rPr>
        <w:t>[64]</w:t>
      </w:r>
      <w:r w:rsidRPr="005F5F47">
        <w:rPr>
          <w:rFonts w:ascii="Times New Roman" w:eastAsia="Times New Roman" w:hAnsi="Times New Roman" w:cs="Times New Roman"/>
          <w:sz w:val="24"/>
          <w:szCs w:val="24"/>
          <w:lang w:eastAsia="en-SG"/>
        </w:rPr>
        <w:t xml:space="preserve"> it is incorrect to conclude, as Justice Alfredo Benjamin S. </w:t>
      </w:r>
      <w:proofErr w:type="spellStart"/>
      <w:r w:rsidRPr="005F5F47">
        <w:rPr>
          <w:rFonts w:ascii="Times New Roman" w:eastAsia="Times New Roman" w:hAnsi="Times New Roman" w:cs="Times New Roman"/>
          <w:sz w:val="24"/>
          <w:szCs w:val="24"/>
          <w:lang w:eastAsia="en-SG"/>
        </w:rPr>
        <w:t>Caguioa</w:t>
      </w:r>
      <w:proofErr w:type="spellEnd"/>
      <w:r w:rsidRPr="005F5F47">
        <w:rPr>
          <w:rFonts w:ascii="Times New Roman" w:eastAsia="Times New Roman" w:hAnsi="Times New Roman" w:cs="Times New Roman"/>
          <w:sz w:val="24"/>
          <w:szCs w:val="24"/>
          <w:lang w:eastAsia="en-SG"/>
        </w:rPr>
        <w:t xml:space="preserve"> holds, that the ERC exercises "inherent and sufficient power,"</w:t>
      </w:r>
      <w:r w:rsidRPr="005F5F47">
        <w:rPr>
          <w:rFonts w:ascii="Times New Roman" w:eastAsia="Times New Roman" w:hAnsi="Times New Roman" w:cs="Times New Roman"/>
          <w:color w:val="FF0000"/>
          <w:sz w:val="24"/>
          <w:szCs w:val="24"/>
          <w:vertAlign w:val="superscript"/>
          <w:lang w:eastAsia="en-SG"/>
        </w:rPr>
        <w:t>[65]</w:t>
      </w:r>
      <w:r w:rsidRPr="005F5F47">
        <w:rPr>
          <w:rFonts w:ascii="Times New Roman" w:eastAsia="Times New Roman" w:hAnsi="Times New Roman" w:cs="Times New Roman"/>
          <w:sz w:val="24"/>
          <w:szCs w:val="24"/>
          <w:lang w:eastAsia="en-SG"/>
        </w:rPr>
        <w:t xml:space="preserve"> and "sufficient power, as the independent regulator of the industry,"</w:t>
      </w:r>
      <w:r w:rsidRPr="005F5F47">
        <w:rPr>
          <w:rFonts w:ascii="Times New Roman" w:eastAsia="Times New Roman" w:hAnsi="Times New Roman" w:cs="Times New Roman"/>
          <w:color w:val="FF0000"/>
          <w:sz w:val="24"/>
          <w:szCs w:val="24"/>
          <w:vertAlign w:val="superscript"/>
          <w:lang w:eastAsia="en-SG"/>
        </w:rPr>
        <w:t>[66]</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lang w:eastAsia="en-SG"/>
        </w:rPr>
        <w:t>to supplant or change</w:t>
      </w:r>
      <w:r w:rsidRPr="005F5F47">
        <w:rPr>
          <w:rFonts w:ascii="Times New Roman" w:eastAsia="Times New Roman" w:hAnsi="Times New Roman" w:cs="Times New Roman"/>
          <w:sz w:val="24"/>
          <w:szCs w:val="24"/>
          <w:lang w:eastAsia="en-SG"/>
        </w:rPr>
        <w:t xml:space="preserve">, as it did in the present case, policies, rules, and regulations prescribed by the DOE. </w:t>
      </w:r>
      <w:r w:rsidRPr="005F5F47">
        <w:rPr>
          <w:rFonts w:ascii="Times New Roman" w:eastAsia="Times New Roman" w:hAnsi="Times New Roman" w:cs="Times New Roman"/>
          <w:b/>
          <w:bCs/>
          <w:sz w:val="24"/>
          <w:szCs w:val="24"/>
          <w:lang w:eastAsia="en-SG"/>
        </w:rPr>
        <w:t xml:space="preserve">The power involved in the ERC's </w:t>
      </w:r>
      <w:r w:rsidRPr="005F5F47">
        <w:rPr>
          <w:rFonts w:ascii="Times New Roman" w:eastAsia="Times New Roman" w:hAnsi="Times New Roman" w:cs="Times New Roman"/>
          <w:b/>
          <w:bCs/>
          <w:i/>
          <w:iCs/>
          <w:sz w:val="24"/>
          <w:szCs w:val="24"/>
          <w:lang w:eastAsia="en-SG"/>
        </w:rPr>
        <w:t>implementation</w:t>
      </w:r>
      <w:r w:rsidRPr="005F5F47">
        <w:rPr>
          <w:rFonts w:ascii="Times New Roman" w:eastAsia="Times New Roman" w:hAnsi="Times New Roman" w:cs="Times New Roman"/>
          <w:b/>
          <w:bCs/>
          <w:sz w:val="24"/>
          <w:szCs w:val="24"/>
          <w:lang w:eastAsia="en-SG"/>
        </w:rPr>
        <w:t xml:space="preserve"> of the 2015 DOE Circular is not quasi-judicial but executive.</w:t>
      </w:r>
      <w:r w:rsidRPr="005F5F47">
        <w:rPr>
          <w:rFonts w:ascii="Times New Roman" w:eastAsia="Times New Roman" w:hAnsi="Times New Roman" w:cs="Times New Roman"/>
          <w:sz w:val="24"/>
          <w:szCs w:val="24"/>
          <w:lang w:eastAsia="en-SG"/>
        </w:rPr>
        <w:t xml:space="preserve"> There are no adverse parties involved in the implementation by the ERC of the 2015 DOE Circular. The ERC does not adjudicate rights and obligations of adverse parties in the present case. The issue presented here involves the propriety of the exercise of the ERC's </w:t>
      </w:r>
      <w:r w:rsidRPr="005F5F47">
        <w:rPr>
          <w:rFonts w:ascii="Times New Roman" w:eastAsia="Times New Roman" w:hAnsi="Times New Roman" w:cs="Times New Roman"/>
          <w:b/>
          <w:bCs/>
          <w:sz w:val="24"/>
          <w:szCs w:val="24"/>
          <w:lang w:eastAsia="en-SG"/>
        </w:rPr>
        <w:t>executive implementation</w:t>
      </w:r>
      <w:r w:rsidRPr="005F5F47">
        <w:rPr>
          <w:rFonts w:ascii="Times New Roman" w:eastAsia="Times New Roman" w:hAnsi="Times New Roman" w:cs="Times New Roman"/>
          <w:sz w:val="24"/>
          <w:szCs w:val="24"/>
          <w:lang w:eastAsia="en-SG"/>
        </w:rPr>
        <w:t xml:space="preserve"> of the policies, as well as the rules and regulations of the EPIRA as issued by the DOE.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Moreover, the nature of the power involved in the ERC's </w:t>
      </w:r>
      <w:r w:rsidRPr="005F5F47">
        <w:rPr>
          <w:rFonts w:ascii="Times New Roman" w:eastAsia="Times New Roman" w:hAnsi="Times New Roman" w:cs="Times New Roman"/>
          <w:b/>
          <w:bCs/>
          <w:sz w:val="24"/>
          <w:szCs w:val="24"/>
          <w:lang w:eastAsia="en-SG"/>
        </w:rPr>
        <w:t>postponement</w:t>
      </w:r>
      <w:r w:rsidRPr="005F5F47">
        <w:rPr>
          <w:rFonts w:ascii="Times New Roman" w:eastAsia="Times New Roman" w:hAnsi="Times New Roman" w:cs="Times New Roman"/>
          <w:sz w:val="24"/>
          <w:szCs w:val="24"/>
          <w:lang w:eastAsia="en-SG"/>
        </w:rPr>
        <w:t xml:space="preserve"> of the effectivity of CSP as mandated in the 2015 DOE Circular is not quasi-judicial but delegated legislative power. Justice </w:t>
      </w:r>
      <w:proofErr w:type="spellStart"/>
      <w:r w:rsidRPr="005F5F47">
        <w:rPr>
          <w:rFonts w:ascii="Times New Roman" w:eastAsia="Times New Roman" w:hAnsi="Times New Roman" w:cs="Times New Roman"/>
          <w:sz w:val="24"/>
          <w:szCs w:val="24"/>
          <w:lang w:eastAsia="en-SG"/>
        </w:rPr>
        <w:t>Caguioa</w:t>
      </w:r>
      <w:proofErr w:type="spellEnd"/>
      <w:r w:rsidRPr="005F5F47">
        <w:rPr>
          <w:rFonts w:ascii="Times New Roman" w:eastAsia="Times New Roman" w:hAnsi="Times New Roman" w:cs="Times New Roman"/>
          <w:sz w:val="24"/>
          <w:szCs w:val="24"/>
          <w:lang w:eastAsia="en-SG"/>
        </w:rPr>
        <w:t xml:space="preserve"> states that "</w:t>
      </w:r>
      <w:r w:rsidRPr="005F5F47">
        <w:rPr>
          <w:rFonts w:ascii="Times New Roman" w:eastAsia="Times New Roman" w:hAnsi="Times New Roman" w:cs="Times New Roman"/>
          <w:b/>
          <w:bCs/>
          <w:sz w:val="24"/>
          <w:szCs w:val="24"/>
          <w:lang w:eastAsia="en-SG"/>
        </w:rPr>
        <w:t xml:space="preserve">the ERC could solely </w:t>
      </w:r>
      <w:r w:rsidRPr="005F5F47">
        <w:rPr>
          <w:rFonts w:ascii="Times New Roman" w:eastAsia="Times New Roman" w:hAnsi="Times New Roman" w:cs="Times New Roman"/>
          <w:b/>
          <w:bCs/>
          <w:i/>
          <w:iCs/>
          <w:sz w:val="24"/>
          <w:szCs w:val="24"/>
          <w:lang w:eastAsia="en-SG"/>
        </w:rPr>
        <w:t>issue</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[67]</w:t>
      </w:r>
      <w:r w:rsidRPr="005F5F47">
        <w:rPr>
          <w:rFonts w:ascii="Times New Roman" w:eastAsia="Times New Roman" w:hAnsi="Times New Roman" w:cs="Times New Roman"/>
          <w:sz w:val="24"/>
          <w:szCs w:val="24"/>
          <w:lang w:eastAsia="en-SG"/>
        </w:rPr>
        <w:t xml:space="preserve"> any resolution changing the dates of effectivity of CSP as set by the CSP Guidelines and the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 "</w:t>
      </w:r>
      <w:r w:rsidRPr="005F5F47">
        <w:rPr>
          <w:rFonts w:ascii="Times New Roman" w:eastAsia="Times New Roman" w:hAnsi="Times New Roman" w:cs="Times New Roman"/>
          <w:b/>
          <w:bCs/>
          <w:sz w:val="24"/>
          <w:szCs w:val="24"/>
          <w:lang w:eastAsia="en-SG"/>
        </w:rPr>
        <w:t>because it was empowered by the law, i.e., the EPIRA</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[68]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 xml:space="preserve">We quote below the entirety of Section 43 of the EPIRA, prescribing the functions of the ERC, and there is </w:t>
      </w:r>
      <w:r w:rsidRPr="005F5F47">
        <w:rPr>
          <w:rFonts w:ascii="Times New Roman" w:eastAsia="Times New Roman" w:hAnsi="Times New Roman" w:cs="Times New Roman"/>
          <w:b/>
          <w:bCs/>
          <w:i/>
          <w:iCs/>
          <w:sz w:val="24"/>
          <w:szCs w:val="24"/>
          <w:lang w:eastAsia="en-SG"/>
        </w:rPr>
        <w:t>absolutely nothing whatsoever</w:t>
      </w:r>
      <w:r w:rsidRPr="005F5F47">
        <w:rPr>
          <w:rFonts w:ascii="Times New Roman" w:eastAsia="Times New Roman" w:hAnsi="Times New Roman" w:cs="Times New Roman"/>
          <w:b/>
          <w:bCs/>
          <w:sz w:val="24"/>
          <w:szCs w:val="24"/>
          <w:lang w:eastAsia="en-SG"/>
        </w:rPr>
        <w:t xml:space="preserve"> in this complete enumeration of the ERC's functions that grants the ERC rule-making power to supplant or change the policies, rules, regulations, or circulars prescribed by the DOE.</w:t>
      </w:r>
      <w:r w:rsidRPr="005F5F47">
        <w:rPr>
          <w:rFonts w:ascii="Times New Roman" w:eastAsia="Times New Roman" w:hAnsi="Times New Roman" w:cs="Times New Roman"/>
          <w:sz w:val="24"/>
          <w:szCs w:val="24"/>
          <w:lang w:eastAsia="en-SG"/>
        </w:rPr>
        <w:t xml:space="preserve"> The ERC's functions, as granted by the EPIRA, are limited, </w:t>
      </w:r>
      <w:r w:rsidRPr="005F5F47">
        <w:rPr>
          <w:rFonts w:ascii="Times New Roman" w:eastAsia="Times New Roman" w:hAnsi="Times New Roman" w:cs="Times New Roman"/>
          <w:i/>
          <w:iCs/>
          <w:sz w:val="24"/>
          <w:szCs w:val="24"/>
          <w:lang w:eastAsia="en-SG"/>
        </w:rPr>
        <w:t>inter alia</w:t>
      </w:r>
      <w:r w:rsidRPr="005F5F47">
        <w:rPr>
          <w:rFonts w:ascii="Times New Roman" w:eastAsia="Times New Roman" w:hAnsi="Times New Roman" w:cs="Times New Roman"/>
          <w:sz w:val="24"/>
          <w:szCs w:val="24"/>
          <w:lang w:eastAsia="en-SG"/>
        </w:rPr>
        <w:t xml:space="preserve">, to the enforcement of the implementing rules </w:t>
      </w:r>
      <w:r w:rsidRPr="005F5F47">
        <w:rPr>
          <w:rFonts w:ascii="Times New Roman" w:eastAsia="Times New Roman" w:hAnsi="Times New Roman" w:cs="Times New Roman"/>
          <w:sz w:val="24"/>
          <w:szCs w:val="24"/>
          <w:lang w:eastAsia="en-SG"/>
        </w:rPr>
        <w:lastRenderedPageBreak/>
        <w:t xml:space="preserve">and regulations of the EPIRA, and not to amend or revoke them. At most, as stated in paragraph (m) of Section 43, the ERC may only take any other action </w:t>
      </w:r>
      <w:r w:rsidRPr="005F5F47">
        <w:rPr>
          <w:rFonts w:ascii="Times New Roman" w:eastAsia="Times New Roman" w:hAnsi="Times New Roman" w:cs="Times New Roman"/>
          <w:b/>
          <w:bCs/>
          <w:sz w:val="24"/>
          <w:szCs w:val="24"/>
          <w:lang w:eastAsia="en-SG"/>
        </w:rPr>
        <w:t>delegated</w:t>
      </w:r>
      <w:r w:rsidRPr="005F5F47">
        <w:rPr>
          <w:rFonts w:ascii="Times New Roman" w:eastAsia="Times New Roman" w:hAnsi="Times New Roman" w:cs="Times New Roman"/>
          <w:sz w:val="24"/>
          <w:szCs w:val="24"/>
          <w:lang w:eastAsia="en-SG"/>
        </w:rPr>
        <w:t xml:space="preserve"> to it pursuant to EPIRA. The ERC may not exceed its delegated authority. Section 43 of the EPIRA provides as follows:</w:t>
      </w:r>
    </w:p>
    <w:p w:rsidR="005F5F47" w:rsidRPr="005F5F47" w:rsidRDefault="005F5F47" w:rsidP="005F5F47">
      <w:pPr>
        <w:spacing w:after="24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Section 43. </w:t>
      </w:r>
      <w:r w:rsidRPr="005F5F47">
        <w:rPr>
          <w:rFonts w:ascii="Times New Roman" w:eastAsia="Times New Roman" w:hAnsi="Times New Roman" w:cs="Times New Roman"/>
          <w:i/>
          <w:iCs/>
          <w:sz w:val="24"/>
          <w:szCs w:val="24"/>
          <w:lang w:eastAsia="en-SG"/>
        </w:rPr>
        <w:t>Functions of the ERC</w:t>
      </w:r>
      <w:r w:rsidRPr="005F5F47">
        <w:rPr>
          <w:rFonts w:ascii="Times New Roman" w:eastAsia="Times New Roman" w:hAnsi="Times New Roman" w:cs="Times New Roman"/>
          <w:sz w:val="24"/>
          <w:szCs w:val="24"/>
          <w:lang w:eastAsia="en-SG"/>
        </w:rPr>
        <w:t>. - The ERC shall promote competition, encourage market development, ensure customer choice and discourage/penalize abuse of market power in the restructured electricity industry. In appropriate cases, the ERC is authorized to issue cease and desist order after due notice and hearing. Towards this end, it shall be responsible for the following key functions in the restructured industry</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(a) Enforce the implementing rules and regulations of this Act;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(b) Within six (6) months from the effectivity of this Act, promulgate and enforce, in accordance with law, a National Grid Code and a Distribution Code which shall include, but not limited to, the following:</w:t>
      </w:r>
    </w:p>
    <w:tbl>
      <w:tblPr>
        <w:tblW w:w="5000" w:type="pct"/>
        <w:tblCellSpacing w:w="0" w:type="dxa"/>
        <w:tblCellMar>
          <w:left w:w="0" w:type="dxa"/>
          <w:right w:w="0" w:type="dxa"/>
        </w:tblCellMar>
        <w:tblLook w:val="04A0" w:firstRow="1" w:lastRow="0" w:firstColumn="1" w:lastColumn="0" w:noHBand="0" w:noVBand="1"/>
      </w:tblPr>
      <w:tblGrid>
        <w:gridCol w:w="451"/>
        <w:gridCol w:w="8575"/>
      </w:tblGrid>
      <w:tr w:rsidR="005F5F47" w:rsidRPr="005F5F47" w:rsidTr="005F5F47">
        <w:trPr>
          <w:tblCellSpacing w:w="0" w:type="dxa"/>
        </w:trPr>
        <w:tc>
          <w:tcPr>
            <w:tcW w:w="2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w:t>
            </w:r>
            <w:proofErr w:type="spellStart"/>
            <w:r w:rsidRPr="005F5F47">
              <w:rPr>
                <w:rFonts w:ascii="Times New Roman" w:eastAsia="Times New Roman" w:hAnsi="Times New Roman" w:cs="Times New Roman"/>
                <w:sz w:val="24"/>
                <w:szCs w:val="24"/>
                <w:lang w:eastAsia="en-SG"/>
              </w:rPr>
              <w:t>i</w:t>
            </w:r>
            <w:proofErr w:type="spellEnd"/>
            <w:r w:rsidRPr="005F5F47">
              <w:rPr>
                <w:rFonts w:ascii="Times New Roman" w:eastAsia="Times New Roman" w:hAnsi="Times New Roman" w:cs="Times New Roman"/>
                <w:sz w:val="24"/>
                <w:szCs w:val="24"/>
                <w:lang w:eastAsia="en-SG"/>
              </w:rPr>
              <w:t xml:space="preserve">) </w:t>
            </w:r>
          </w:p>
        </w:tc>
        <w:tc>
          <w:tcPr>
            <w:tcW w:w="47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Performance standards for TRANSCO O &amp; M Concessionaire, distribution utilities and suppliers: </w:t>
            </w:r>
            <w:r w:rsidRPr="005F5F47">
              <w:rPr>
                <w:rFonts w:ascii="Times New Roman" w:eastAsia="Times New Roman" w:hAnsi="Times New Roman" w:cs="Times New Roman"/>
                <w:i/>
                <w:iCs/>
                <w:sz w:val="24"/>
                <w:szCs w:val="24"/>
                <w:lang w:eastAsia="en-SG"/>
              </w:rPr>
              <w:t>Provided</w:t>
            </w:r>
            <w:r w:rsidRPr="005F5F47">
              <w:rPr>
                <w:rFonts w:ascii="Times New Roman" w:eastAsia="Times New Roman" w:hAnsi="Times New Roman" w:cs="Times New Roman"/>
                <w:sz w:val="24"/>
                <w:szCs w:val="24"/>
                <w:lang w:eastAsia="en-SG"/>
              </w:rPr>
              <w:t>, That in the establishment of the performance standards, the nature and function of the entities shall be considered; and</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(ii) </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Financial capability standards for the generating companies, the TRANSCO, distribution utilities and suppliers: </w:t>
            </w:r>
            <w:r w:rsidRPr="005F5F47">
              <w:rPr>
                <w:rFonts w:ascii="Times New Roman" w:eastAsia="Times New Roman" w:hAnsi="Times New Roman" w:cs="Times New Roman"/>
                <w:i/>
                <w:iCs/>
                <w:sz w:val="24"/>
                <w:szCs w:val="24"/>
                <w:lang w:eastAsia="en-SG"/>
              </w:rPr>
              <w:t>Provided</w:t>
            </w:r>
            <w:r w:rsidRPr="005F5F47">
              <w:rPr>
                <w:rFonts w:ascii="Times New Roman" w:eastAsia="Times New Roman" w:hAnsi="Times New Roman" w:cs="Times New Roman"/>
                <w:sz w:val="24"/>
                <w:szCs w:val="24"/>
                <w:lang w:eastAsia="en-SG"/>
              </w:rPr>
              <w:t xml:space="preserve">, That in the formulation of the financial capability standards, the nature and function of the entity shall be considered: </w:t>
            </w:r>
            <w:r w:rsidRPr="005F5F47">
              <w:rPr>
                <w:rFonts w:ascii="Times New Roman" w:eastAsia="Times New Roman" w:hAnsi="Times New Roman" w:cs="Times New Roman"/>
                <w:i/>
                <w:iCs/>
                <w:sz w:val="24"/>
                <w:szCs w:val="24"/>
                <w:lang w:eastAsia="en-SG"/>
              </w:rPr>
              <w:t>Provided, further</w:t>
            </w:r>
            <w:r w:rsidRPr="005F5F47">
              <w:rPr>
                <w:rFonts w:ascii="Times New Roman" w:eastAsia="Times New Roman" w:hAnsi="Times New Roman" w:cs="Times New Roman"/>
                <w:sz w:val="24"/>
                <w:szCs w:val="24"/>
                <w:lang w:eastAsia="en-SG"/>
              </w:rPr>
              <w:t>, That such standards are set to ensure that the electric power industry participants meet the minimum financial standards to protect the public interest. Determine, fix, and approve, after due notice and public hearings the universal charge, to be imposed on all electricity end-users pursuant to Section 34 hereof;</w:t>
            </w:r>
          </w:p>
        </w:tc>
      </w:tr>
    </w:tbl>
    <w:p w:rsidR="005F5F47" w:rsidRPr="005F5F47" w:rsidRDefault="005F5F47" w:rsidP="005F5F47">
      <w:pPr>
        <w:spacing w:after="24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br/>
        <w:t>(c) Enforce the rules and regulations governing the operations of the electricity spot market and the activities of the spot market operator and other participants in the spot market, for the purpose of ensuring a greater supply and rational pricing of electricity;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(d) Determine the level of cross subsidies in the existing retail rate until the same is removed pursuant to Section 74 hereof;</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(e) Amend or revoke, after due notice and hearing, the authority to operate of any person or entity which fails to comply with the provisions hereof, the IRR or any order or resolution of the ERC. In the event a divestment is required, the ERC shall allow the affected party sufficient time to remedy the infraction or for an orderly disposal, but shall in no case exceed twelve (12) months from the issuance of the order;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(f) In the public interest, establish and enforce a methodology for setting transmission and distribution wheeling rates and retail rates for the captive market of a distribution utility, taking into account all relevant considerations, including the efficiency or inefficiency of the regulated entities. The rates must be such as to allow the recovery of just and reasonable costs and a reasonable return on rate base (RORB) to enable the entity to operate viably. The ERC may adopt alternative forms of internationally accepted rate-resetting methodology as it may deem appropriate. The rate-setting methodology so adopted and applied must ensure a reasonable price of electricity. The rates prescribed shall be non- discriminatory. To achieve this objective and to ensure the complete removal of cross subsidies, the cap on the recoverable rate of system losses prescribed in Section 10 of Republic Act No. 7832, is </w:t>
      </w:r>
      <w:r w:rsidRPr="005F5F47">
        <w:rPr>
          <w:rFonts w:ascii="Times New Roman" w:eastAsia="Times New Roman" w:hAnsi="Times New Roman" w:cs="Times New Roman"/>
          <w:sz w:val="24"/>
          <w:szCs w:val="24"/>
          <w:lang w:eastAsia="en-SG"/>
        </w:rPr>
        <w:lastRenderedPageBreak/>
        <w:t>hereby amended and shall be replaced by caps which shall be determined by the ERC based on load density, sales mix, cost of service, delivery voltage and other technical considerations it may promulgate. The ERC shall determine such form of rate-setting methodology, which shall promote efficiency. In case the rate setting methodology used is RORB, it shall be subject to the following guidelines:</w:t>
      </w:r>
    </w:p>
    <w:tbl>
      <w:tblPr>
        <w:tblW w:w="5000" w:type="pct"/>
        <w:tblCellSpacing w:w="0" w:type="dxa"/>
        <w:tblCellMar>
          <w:left w:w="0" w:type="dxa"/>
          <w:right w:w="0" w:type="dxa"/>
        </w:tblCellMar>
        <w:tblLook w:val="04A0" w:firstRow="1" w:lastRow="0" w:firstColumn="1" w:lastColumn="0" w:noHBand="0" w:noVBand="1"/>
      </w:tblPr>
      <w:tblGrid>
        <w:gridCol w:w="451"/>
        <w:gridCol w:w="8575"/>
      </w:tblGrid>
      <w:tr w:rsidR="005F5F47" w:rsidRPr="005F5F47" w:rsidTr="005F5F47">
        <w:trPr>
          <w:tblCellSpacing w:w="0" w:type="dxa"/>
        </w:trPr>
        <w:tc>
          <w:tcPr>
            <w:tcW w:w="2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w:t>
            </w:r>
            <w:proofErr w:type="spellStart"/>
            <w:r w:rsidRPr="005F5F47">
              <w:rPr>
                <w:rFonts w:ascii="Times New Roman" w:eastAsia="Times New Roman" w:hAnsi="Times New Roman" w:cs="Times New Roman"/>
                <w:sz w:val="24"/>
                <w:szCs w:val="24"/>
                <w:lang w:eastAsia="en-SG"/>
              </w:rPr>
              <w:t>i</w:t>
            </w:r>
            <w:proofErr w:type="spellEnd"/>
            <w:r w:rsidRPr="005F5F47">
              <w:rPr>
                <w:rFonts w:ascii="Times New Roman" w:eastAsia="Times New Roman" w:hAnsi="Times New Roman" w:cs="Times New Roman"/>
                <w:sz w:val="24"/>
                <w:szCs w:val="24"/>
                <w:lang w:eastAsia="en-SG"/>
              </w:rPr>
              <w:t xml:space="preserve">) </w:t>
            </w:r>
          </w:p>
        </w:tc>
        <w:tc>
          <w:tcPr>
            <w:tcW w:w="47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For purposes of determining the rate base, the TRANSCO or any distribution utility may be allowed to revalue its eligible assets not more than once every three (3) years by an independent appraisal company: </w:t>
            </w:r>
            <w:r w:rsidRPr="005F5F47">
              <w:rPr>
                <w:rFonts w:ascii="Times New Roman" w:eastAsia="Times New Roman" w:hAnsi="Times New Roman" w:cs="Times New Roman"/>
                <w:i/>
                <w:iCs/>
                <w:sz w:val="24"/>
                <w:szCs w:val="24"/>
                <w:lang w:eastAsia="en-SG"/>
              </w:rPr>
              <w:t>Provided, however</w:t>
            </w:r>
            <w:r w:rsidRPr="005F5F47">
              <w:rPr>
                <w:rFonts w:ascii="Times New Roman" w:eastAsia="Times New Roman" w:hAnsi="Times New Roman" w:cs="Times New Roman"/>
                <w:sz w:val="24"/>
                <w:szCs w:val="24"/>
                <w:lang w:eastAsia="en-SG"/>
              </w:rPr>
              <w:t xml:space="preserve">, That ERC may give an exemption in case of unusual devaluation: </w:t>
            </w:r>
            <w:r w:rsidRPr="005F5F47">
              <w:rPr>
                <w:rFonts w:ascii="Times New Roman" w:eastAsia="Times New Roman" w:hAnsi="Times New Roman" w:cs="Times New Roman"/>
                <w:i/>
                <w:iCs/>
                <w:sz w:val="24"/>
                <w:szCs w:val="24"/>
                <w:lang w:eastAsia="en-SG"/>
              </w:rPr>
              <w:t>Provided, further</w:t>
            </w:r>
            <w:r w:rsidRPr="005F5F47">
              <w:rPr>
                <w:rFonts w:ascii="Times New Roman" w:eastAsia="Times New Roman" w:hAnsi="Times New Roman" w:cs="Times New Roman"/>
                <w:sz w:val="24"/>
                <w:szCs w:val="24"/>
                <w:lang w:eastAsia="en-SG"/>
              </w:rPr>
              <w:t>, That the ERC shall exert efforts to minimize price shocks in order to protect the consumers;</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(ii) </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Interest expenses are not allowable deductions from permissible return on rate base;</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(iii)</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In determining eligible cost of services that will be passed on to the end-users, the ERC shall establish minimum efficiency performance standards for the TRANSCO and distribution utilities including systems losses, interruption frequency rates, and collection efficiency;</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(iv)</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Further, in determining rate base, the TRANSCO or any distribution utility shall not be allowed to include management inefficiencies like cost of project delays not excused by </w:t>
            </w:r>
            <w:r w:rsidRPr="005F5F47">
              <w:rPr>
                <w:rFonts w:ascii="Times New Roman" w:eastAsia="Times New Roman" w:hAnsi="Times New Roman" w:cs="Times New Roman"/>
                <w:i/>
                <w:iCs/>
                <w:sz w:val="24"/>
                <w:szCs w:val="24"/>
                <w:lang w:eastAsia="en-SG"/>
              </w:rPr>
              <w:t>force majeure</w:t>
            </w:r>
            <w:r w:rsidRPr="005F5F47">
              <w:rPr>
                <w:rFonts w:ascii="Times New Roman" w:eastAsia="Times New Roman" w:hAnsi="Times New Roman" w:cs="Times New Roman"/>
                <w:sz w:val="24"/>
                <w:szCs w:val="24"/>
                <w:lang w:eastAsia="en-SG"/>
              </w:rPr>
              <w:t>, penalties and related interest during construction applicable to these unexcused delays; and</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(v)</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Any significant operating costs or project investments of TRANSCO and distribution utilities which shall become part of the rate base shall be subject to verification by the ERC to ensure that the contracting and procurement of the equipment, assets and services have been subjected to transparent and accepted industry procurement and purchasing practices to protect the public interest.</w:t>
            </w:r>
          </w:p>
        </w:tc>
      </w:tr>
    </w:tbl>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br/>
        <w:t>(g) Three (3) years after the imposition of the universal charge, ensure that the charges of the TRANSCO or any distribution utility shall bear no cross subsidies between grids, within grids, or between classes of customers, except as provided herein;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(h) Review and approve any changes on the terms and conditions of service of the TRANSCO or any distribution utility;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w:t>
      </w:r>
      <w:proofErr w:type="spellStart"/>
      <w:r w:rsidRPr="005F5F47">
        <w:rPr>
          <w:rFonts w:ascii="Times New Roman" w:eastAsia="Times New Roman" w:hAnsi="Times New Roman" w:cs="Times New Roman"/>
          <w:sz w:val="24"/>
          <w:szCs w:val="24"/>
          <w:lang w:eastAsia="en-SG"/>
        </w:rPr>
        <w:t>i</w:t>
      </w:r>
      <w:proofErr w:type="spellEnd"/>
      <w:r w:rsidRPr="005F5F47">
        <w:rPr>
          <w:rFonts w:ascii="Times New Roman" w:eastAsia="Times New Roman" w:hAnsi="Times New Roman" w:cs="Times New Roman"/>
          <w:sz w:val="24"/>
          <w:szCs w:val="24"/>
          <w:lang w:eastAsia="en-SG"/>
        </w:rPr>
        <w:t>) Allow TRANSCO to charge user fees for ancillary services to all electric power industry participants or self-generating entities connected to the grid. Such fees shall be fixed by the ERC after due notice and public hearing;</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(j) Set a lifeline rate for the marginalized end-users;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(k) Monitor and take measures in accordance with this Act to penalize abuse of market power, cartelization, and anti-competitive or discriminatory </w:t>
      </w:r>
      <w:proofErr w:type="spellStart"/>
      <w:r w:rsidRPr="005F5F47">
        <w:rPr>
          <w:rFonts w:ascii="Times New Roman" w:eastAsia="Times New Roman" w:hAnsi="Times New Roman" w:cs="Times New Roman"/>
          <w:sz w:val="24"/>
          <w:szCs w:val="24"/>
          <w:lang w:eastAsia="en-SG"/>
        </w:rPr>
        <w:t>behavior</w:t>
      </w:r>
      <w:proofErr w:type="spellEnd"/>
      <w:r w:rsidRPr="005F5F47">
        <w:rPr>
          <w:rFonts w:ascii="Times New Roman" w:eastAsia="Times New Roman" w:hAnsi="Times New Roman" w:cs="Times New Roman"/>
          <w:sz w:val="24"/>
          <w:szCs w:val="24"/>
          <w:lang w:eastAsia="en-SG"/>
        </w:rPr>
        <w:t xml:space="preserve"> by any electric power industry participant;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(l) Impose fines or penalties for any non-compliance with or breach of this Act, the IRR of this Act and the rules and regulations which it promulgates or administers;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(m) Take any other action delegated to it pursuant to this Act;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(n) Before the end of April of each year, submit to the Office of the President of the Philippines and Congress, copy furnished the DOE, an annual report containing such matters </w:t>
      </w:r>
      <w:r w:rsidRPr="005F5F47">
        <w:rPr>
          <w:rFonts w:ascii="Times New Roman" w:eastAsia="Times New Roman" w:hAnsi="Times New Roman" w:cs="Times New Roman"/>
          <w:sz w:val="24"/>
          <w:szCs w:val="24"/>
          <w:lang w:eastAsia="en-SG"/>
        </w:rPr>
        <w:lastRenderedPageBreak/>
        <w:t>or cases which have been filed before or referred to it during the preceding year, the actions and proceedings undertaken and its decision or resolution in each case. The ERC shall make copies of such reports available to any interested party upon payment of a charge which reflects the printing costs. The ERC shall publish all its decisions involving rates and anti-competitive cases in at least one (1) newspaper of general circulation, and/or post electronically and circulate to all interested electric power industry participants copies of its resolutions to ensure fair and impartial treatment;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(o) Monitor the activities of the generation and supply of the electric power industry with the end in view of promoting free market competition and ensuring that the allocation or pass through of bulk purchase cost by distributors is transparent, non-discriminatory and that any existing subsidies shall be divided pro-rata among all retail suppliers;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(p) Act on applications for or modifications of certificates of public convenience and/or necessity, licenses or permits of franchised electric utilities in accordance with law and revoke, review and modify such certificates, licenses or permits in appropriate cases, such as in cases of violations of the Grid Code, Distribution Code and other rules and regulations issued by the ERC in accordance with law;</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(q) Act on applications for cost recovery and return on demand side management projects;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(r) In the exercise of its investigative and quasi-judicial powers, act against any participant or player in the energy sector for violations of any law, rule and regulation governing the same, including the rules on cross-ownership, anti-competitive practices, abuse of market positions and similar or related acts by any participant in the energy sector or by any person, as may be provided by law, and require any person or entity to submit any report or data relative to any investigation or hearing conducted pursuant to this Act;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 Inspect, on its own or through duly authorized representatives, the premises, books of accounts and records of any person or entity at any time, in the exercise of its quasi-judicial power for purposes of determining the existence of any anti-competitive </w:t>
      </w:r>
      <w:proofErr w:type="spellStart"/>
      <w:r w:rsidRPr="005F5F47">
        <w:rPr>
          <w:rFonts w:ascii="Times New Roman" w:eastAsia="Times New Roman" w:hAnsi="Times New Roman" w:cs="Times New Roman"/>
          <w:sz w:val="24"/>
          <w:szCs w:val="24"/>
          <w:lang w:eastAsia="en-SG"/>
        </w:rPr>
        <w:t>behavior</w:t>
      </w:r>
      <w:proofErr w:type="spellEnd"/>
      <w:r w:rsidRPr="005F5F47">
        <w:rPr>
          <w:rFonts w:ascii="Times New Roman" w:eastAsia="Times New Roman" w:hAnsi="Times New Roman" w:cs="Times New Roman"/>
          <w:sz w:val="24"/>
          <w:szCs w:val="24"/>
          <w:lang w:eastAsia="en-SG"/>
        </w:rPr>
        <w:t xml:space="preserve"> and/or market power abuse and any violation of rules and regulations issued by the ERC;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 Perform such other regulatory functions as are appropriate in order to ensure the successful restructuring and modernization of the electric power industry, such as, but not limited to, the rules and guidelines under which generation companies, distribution utilities which are not publicly listed shall offer and sell to the public a portion not less than fifteen percent (15%) of their common shares of stocks: </w:t>
      </w:r>
      <w:r w:rsidRPr="005F5F47">
        <w:rPr>
          <w:rFonts w:ascii="Times New Roman" w:eastAsia="Times New Roman" w:hAnsi="Times New Roman" w:cs="Times New Roman"/>
          <w:i/>
          <w:iCs/>
          <w:sz w:val="24"/>
          <w:szCs w:val="24"/>
          <w:lang w:eastAsia="en-SG"/>
        </w:rPr>
        <w:t>Provided, however</w:t>
      </w:r>
      <w:r w:rsidRPr="005F5F47">
        <w:rPr>
          <w:rFonts w:ascii="Times New Roman" w:eastAsia="Times New Roman" w:hAnsi="Times New Roman" w:cs="Times New Roman"/>
          <w:sz w:val="24"/>
          <w:szCs w:val="24"/>
          <w:lang w:eastAsia="en-SG"/>
        </w:rPr>
        <w:t xml:space="preserve">, That generation companies, distribution utilities or their respective holding companies that are already listed in the PSE are deemed in compliance. For existing companies, such public offering shall be implemented not later than five (5) years from the effectivity of this Act. New companies shall implement their respective public offerings not later than five (5) years from the issuance of their certificate of compliance; </w:t>
      </w:r>
      <w:proofErr w:type="gramStart"/>
      <w:r w:rsidRPr="005F5F47">
        <w:rPr>
          <w:rFonts w:ascii="Times New Roman" w:eastAsia="Times New Roman" w:hAnsi="Times New Roman" w:cs="Times New Roman"/>
          <w:sz w:val="24"/>
          <w:szCs w:val="24"/>
          <w:lang w:eastAsia="en-SG"/>
        </w:rPr>
        <w:t>and</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(u) The ERC shall have the original and exclusive jurisdiction over all cases contesting rates, fees, fines and penalties imposed by the ERC in the exercise of the abovementioned powers, functions and responsibilities and over all cases involving disputes between and among participants or players in the energy sector.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All notices of hearings to be conducted by the ERC for the purpose of fixing rates or fees </w:t>
      </w:r>
      <w:r w:rsidRPr="005F5F47">
        <w:rPr>
          <w:rFonts w:ascii="Times New Roman" w:eastAsia="Times New Roman" w:hAnsi="Times New Roman" w:cs="Times New Roman"/>
          <w:sz w:val="24"/>
          <w:szCs w:val="24"/>
          <w:lang w:eastAsia="en-SG"/>
        </w:rPr>
        <w:lastRenderedPageBreak/>
        <w:t>shall be published at least twice for two successive weeks in two (2) newspapers of nationwide circulation.</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In the present case, where there is no exercise of the ERC's quasi-judicial powers, the ERC is legally bound to enforce the rules and regulations of the DOE as authorized under the EPIRA. The ERC has no independence or discretion to ignore, waive, amend, postpone, or revoke the rules and regulations of the DOE pursuant to the EPIRA, </w:t>
      </w:r>
      <w:r w:rsidRPr="005F5F47">
        <w:rPr>
          <w:rFonts w:ascii="Times New Roman" w:eastAsia="Times New Roman" w:hAnsi="Times New Roman" w:cs="Times New Roman"/>
          <w:b/>
          <w:bCs/>
          <w:sz w:val="24"/>
          <w:szCs w:val="24"/>
          <w:lang w:eastAsia="en-SG"/>
        </w:rPr>
        <w:t xml:space="preserve">as it is hornbook doctrine that rules and regulations issued pursuant to law by administrative agencies, like the DOE, </w:t>
      </w:r>
      <w:r w:rsidRPr="005F5F47">
        <w:rPr>
          <w:rFonts w:ascii="Times New Roman" w:eastAsia="Times New Roman" w:hAnsi="Times New Roman" w:cs="Times New Roman"/>
          <w:b/>
          <w:bCs/>
          <w:i/>
          <w:iCs/>
          <w:sz w:val="24"/>
          <w:szCs w:val="24"/>
          <w:lang w:eastAsia="en-SG"/>
        </w:rPr>
        <w:t>have the force and effect of law</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69]</w:t>
      </w:r>
      <w:r w:rsidRPr="005F5F47">
        <w:rPr>
          <w:rFonts w:ascii="Times New Roman" w:eastAsia="Times New Roman" w:hAnsi="Times New Roman" w:cs="Times New Roman"/>
          <w:sz w:val="24"/>
          <w:szCs w:val="24"/>
          <w:lang w:eastAsia="en-SG"/>
        </w:rPr>
        <w:t xml:space="preserve"> In fact, the first duty and function of the ERC under its charter is to "</w:t>
      </w:r>
      <w:r w:rsidRPr="005F5F47">
        <w:rPr>
          <w:rFonts w:ascii="Times New Roman" w:eastAsia="Times New Roman" w:hAnsi="Times New Roman" w:cs="Times New Roman"/>
          <w:b/>
          <w:bCs/>
          <w:sz w:val="24"/>
          <w:szCs w:val="24"/>
          <w:lang w:eastAsia="en-SG"/>
        </w:rPr>
        <w:t>enforce the implementing rules and regulations</w:t>
      </w:r>
      <w:r w:rsidRPr="005F5F47">
        <w:rPr>
          <w:rFonts w:ascii="Times New Roman" w:eastAsia="Times New Roman" w:hAnsi="Times New Roman" w:cs="Times New Roman"/>
          <w:sz w:val="24"/>
          <w:szCs w:val="24"/>
          <w:lang w:eastAsia="en-SG"/>
        </w:rPr>
        <w:t xml:space="preserve">" of the EPIRA as issued by the DOE. </w:t>
      </w:r>
      <w:r w:rsidRPr="005F5F47">
        <w:rPr>
          <w:rFonts w:ascii="Times New Roman" w:eastAsia="Times New Roman" w:hAnsi="Times New Roman" w:cs="Times New Roman"/>
          <w:b/>
          <w:bCs/>
          <w:sz w:val="24"/>
          <w:szCs w:val="24"/>
          <w:lang w:eastAsia="en-SG"/>
        </w:rPr>
        <w:t>Certainly, the ERC has no power to ignore, waive, amend, postpone, or revoke the policies, rules, regulations, and circulars issued by the DOE pursuant to the EPIRA.</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 xml:space="preserve">In any event, even in quasi-judicial cases, the ERC is bound to apply the policies, rules, regulations, and circulars issued by the DOE as the ERC has no power to ignore, waive, amend, postpone, or revoke the policies, rules, regulations, and circulars issued by the DOE pursuant to the EPIRA. To repeat, the DOE's rules, regulations, and circulars issued pursuant to the DOE's rule-making power under the EPIRA </w:t>
      </w:r>
      <w:r w:rsidRPr="005F5F47">
        <w:rPr>
          <w:rFonts w:ascii="Times New Roman" w:eastAsia="Times New Roman" w:hAnsi="Times New Roman" w:cs="Times New Roman"/>
          <w:b/>
          <w:bCs/>
          <w:i/>
          <w:iCs/>
          <w:sz w:val="24"/>
          <w:szCs w:val="24"/>
          <w:lang w:eastAsia="en-SG"/>
        </w:rPr>
        <w:t>have the force and effect of law which the ERC is legally bound to follow, whether the ERC is exercising executive, quasi-legislative, or quasi-judicial powers</w:t>
      </w:r>
      <w:r w:rsidRPr="005F5F47">
        <w:rPr>
          <w:rFonts w:ascii="Times New Roman" w:eastAsia="Times New Roman" w:hAnsi="Times New Roman" w:cs="Times New Roman"/>
          <w:b/>
          <w:bCs/>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Pursuant to the DOE's mandate under the EPIRA</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70]</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lang w:eastAsia="en-SG"/>
        </w:rPr>
        <w:t>the 2015 DOE Circular required all DUs to undergo CSP in procuring PSAs</w:t>
      </w:r>
      <w:r w:rsidRPr="005F5F47">
        <w:rPr>
          <w:rFonts w:ascii="Times New Roman" w:eastAsia="Times New Roman" w:hAnsi="Times New Roman" w:cs="Times New Roman"/>
          <w:sz w:val="24"/>
          <w:szCs w:val="24"/>
          <w:lang w:eastAsia="en-SG"/>
        </w:rPr>
        <w:t>. The DOE issued on 11 June 2015 the 2015 DOE Circular which took effect upon its publication on 30 June 2015.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2015 DOE Circular recognized that under the EPIRA, the DOE has the mandate to "</w:t>
      </w:r>
      <w:r w:rsidRPr="005F5F47">
        <w:rPr>
          <w:rFonts w:ascii="Times New Roman" w:eastAsia="Times New Roman" w:hAnsi="Times New Roman" w:cs="Times New Roman"/>
          <w:b/>
          <w:bCs/>
          <w:sz w:val="24"/>
          <w:szCs w:val="24"/>
          <w:lang w:eastAsia="en-SG"/>
        </w:rPr>
        <w:t>formulate such rules and regulations as may be necessary to implement the objectives of the EPIRA</w:t>
      </w:r>
      <w:r w:rsidRPr="005F5F47">
        <w:rPr>
          <w:rFonts w:ascii="Times New Roman" w:eastAsia="Times New Roman" w:hAnsi="Times New Roman" w:cs="Times New Roman"/>
          <w:sz w:val="24"/>
          <w:szCs w:val="24"/>
          <w:lang w:eastAsia="en-SG"/>
        </w:rPr>
        <w:t>, "</w:t>
      </w:r>
      <w:r w:rsidRPr="005F5F47">
        <w:rPr>
          <w:rFonts w:ascii="Times New Roman" w:eastAsia="Times New Roman" w:hAnsi="Times New Roman" w:cs="Times New Roman"/>
          <w:color w:val="FF0000"/>
          <w:sz w:val="24"/>
          <w:szCs w:val="24"/>
          <w:vertAlign w:val="superscript"/>
          <w:lang w:eastAsia="en-SG"/>
        </w:rPr>
        <w:t>[71]</w:t>
      </w:r>
      <w:r w:rsidRPr="005F5F47">
        <w:rPr>
          <w:rFonts w:ascii="Times New Roman" w:eastAsia="Times New Roman" w:hAnsi="Times New Roman" w:cs="Times New Roman"/>
          <w:sz w:val="24"/>
          <w:szCs w:val="24"/>
          <w:lang w:eastAsia="en-SG"/>
        </w:rPr>
        <w:t xml:space="preserve"> where the State policy is to "</w:t>
      </w:r>
      <w:r w:rsidRPr="005F5F47">
        <w:rPr>
          <w:rFonts w:ascii="Times New Roman" w:eastAsia="Times New Roman" w:hAnsi="Times New Roman" w:cs="Times New Roman"/>
          <w:b/>
          <w:bCs/>
          <w:sz w:val="24"/>
          <w:szCs w:val="24"/>
          <w:lang w:eastAsia="en-SG"/>
        </w:rPr>
        <w:t>[p]</w:t>
      </w:r>
      <w:proofErr w:type="spellStart"/>
      <w:r w:rsidRPr="005F5F47">
        <w:rPr>
          <w:rFonts w:ascii="Times New Roman" w:eastAsia="Times New Roman" w:hAnsi="Times New Roman" w:cs="Times New Roman"/>
          <w:b/>
          <w:bCs/>
          <w:sz w:val="24"/>
          <w:szCs w:val="24"/>
          <w:lang w:eastAsia="en-SG"/>
        </w:rPr>
        <w:t>rotect</w:t>
      </w:r>
      <w:proofErr w:type="spellEnd"/>
      <w:r w:rsidRPr="005F5F47">
        <w:rPr>
          <w:rFonts w:ascii="Times New Roman" w:eastAsia="Times New Roman" w:hAnsi="Times New Roman" w:cs="Times New Roman"/>
          <w:b/>
          <w:bCs/>
          <w:sz w:val="24"/>
          <w:szCs w:val="24"/>
          <w:lang w:eastAsia="en-SG"/>
        </w:rPr>
        <w:t xml:space="preserve"> the public interest as it is affected by the rates and services of electric utilities and other providers of electric power</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[72]</w:t>
      </w:r>
      <w:r w:rsidRPr="005F5F47">
        <w:rPr>
          <w:rFonts w:ascii="Times New Roman" w:eastAsia="Times New Roman" w:hAnsi="Times New Roman" w:cs="Times New Roman"/>
          <w:sz w:val="24"/>
          <w:szCs w:val="24"/>
          <w:lang w:eastAsia="en-SG"/>
        </w:rPr>
        <w:t xml:space="preserve"> The 2015 DOE Circular reiterated the EPIRA's mandate that "all Distribution Utilities (DUs) shall have the obligation to supply electricity </w:t>
      </w:r>
      <w:r w:rsidRPr="005F5F47">
        <w:rPr>
          <w:rFonts w:ascii="Times New Roman" w:eastAsia="Times New Roman" w:hAnsi="Times New Roman" w:cs="Times New Roman"/>
          <w:b/>
          <w:bCs/>
          <w:sz w:val="24"/>
          <w:szCs w:val="24"/>
          <w:lang w:eastAsia="en-SG"/>
        </w:rPr>
        <w:t>in the least-cost manner to their Captive Market</w:t>
      </w:r>
      <w:r w:rsidRPr="005F5F47">
        <w:rPr>
          <w:rFonts w:ascii="Times New Roman" w:eastAsia="Times New Roman" w:hAnsi="Times New Roman" w:cs="Times New Roman"/>
          <w:sz w:val="24"/>
          <w:szCs w:val="24"/>
          <w:lang w:eastAsia="en-SG"/>
        </w:rPr>
        <w:t>, subject to the collection of retail rate du[l]y approved by the [ERC]."</w:t>
      </w:r>
      <w:r w:rsidRPr="005F5F47">
        <w:rPr>
          <w:rFonts w:ascii="Times New Roman" w:eastAsia="Times New Roman" w:hAnsi="Times New Roman" w:cs="Times New Roman"/>
          <w:color w:val="FF0000"/>
          <w:sz w:val="24"/>
          <w:szCs w:val="24"/>
          <w:vertAlign w:val="superscript"/>
          <w:lang w:eastAsia="en-SG"/>
        </w:rPr>
        <w:t>[73</w:t>
      </w:r>
      <w:proofErr w:type="gramStart"/>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2015 DOE Circular mandated that DUs, including electric cooperatives, obtain their PSAs through CSP. Section 1 of the 2015 DOE Circular states the principles behind CSP:</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Section 1. General Principles. Consistent with its mandate, the DOE recognizes that Competitive Selection Process (CSP) in the procurement of PSAs by the DUs ensures security and certainty of electricity prices of electric power to end-users in the long-term. </w:t>
      </w:r>
      <w:r w:rsidRPr="005F5F47">
        <w:rPr>
          <w:rFonts w:ascii="Times New Roman" w:eastAsia="Times New Roman" w:hAnsi="Times New Roman" w:cs="Times New Roman"/>
          <w:b/>
          <w:bCs/>
          <w:sz w:val="24"/>
          <w:szCs w:val="24"/>
          <w:lang w:eastAsia="en-SG"/>
        </w:rPr>
        <w:t>Towards this end, all CSPs undertaken by the DUs shall be guided by the following principles</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(a) </w:t>
      </w:r>
      <w:r w:rsidRPr="005F5F47">
        <w:rPr>
          <w:rFonts w:ascii="Times New Roman" w:eastAsia="Times New Roman" w:hAnsi="Times New Roman" w:cs="Times New Roman"/>
          <w:b/>
          <w:bCs/>
          <w:sz w:val="24"/>
          <w:szCs w:val="24"/>
          <w:lang w:eastAsia="en-SG"/>
        </w:rPr>
        <w:t>Increase the transparency needed in the procurement process to reduce risks</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(b) </w:t>
      </w:r>
      <w:r w:rsidRPr="005F5F47">
        <w:rPr>
          <w:rFonts w:ascii="Times New Roman" w:eastAsia="Times New Roman" w:hAnsi="Times New Roman" w:cs="Times New Roman"/>
          <w:b/>
          <w:bCs/>
          <w:sz w:val="24"/>
          <w:szCs w:val="24"/>
          <w:lang w:eastAsia="en-SG"/>
        </w:rPr>
        <w:t xml:space="preserve">Promote and </w:t>
      </w:r>
      <w:proofErr w:type="spellStart"/>
      <w:r w:rsidRPr="005F5F47">
        <w:rPr>
          <w:rFonts w:ascii="Times New Roman" w:eastAsia="Times New Roman" w:hAnsi="Times New Roman" w:cs="Times New Roman"/>
          <w:b/>
          <w:bCs/>
          <w:sz w:val="24"/>
          <w:szCs w:val="24"/>
          <w:lang w:eastAsia="en-SG"/>
        </w:rPr>
        <w:t>instill</w:t>
      </w:r>
      <w:proofErr w:type="spellEnd"/>
      <w:r w:rsidRPr="005F5F47">
        <w:rPr>
          <w:rFonts w:ascii="Times New Roman" w:eastAsia="Times New Roman" w:hAnsi="Times New Roman" w:cs="Times New Roman"/>
          <w:b/>
          <w:bCs/>
          <w:sz w:val="24"/>
          <w:szCs w:val="24"/>
          <w:lang w:eastAsia="en-SG"/>
        </w:rPr>
        <w:t xml:space="preserve"> competition in the procurement and supply of electric power to all end-users</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(c) </w:t>
      </w:r>
      <w:r w:rsidRPr="005F5F47">
        <w:rPr>
          <w:rFonts w:ascii="Times New Roman" w:eastAsia="Times New Roman" w:hAnsi="Times New Roman" w:cs="Times New Roman"/>
          <w:b/>
          <w:bCs/>
          <w:sz w:val="24"/>
          <w:szCs w:val="24"/>
          <w:lang w:eastAsia="en-SG"/>
        </w:rPr>
        <w:t>Ascertain least-cost outcomes that are unlikely to be challenged in the future as the political and institutional scenarios should change</w:t>
      </w:r>
      <w:r w:rsidRPr="005F5F47">
        <w:rPr>
          <w:rFonts w:ascii="Times New Roman" w:eastAsia="Times New Roman" w:hAnsi="Times New Roman" w:cs="Times New Roman"/>
          <w:sz w:val="24"/>
          <w:szCs w:val="24"/>
          <w:lang w:eastAsia="en-SG"/>
        </w:rPr>
        <w:t>; and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(d) </w:t>
      </w:r>
      <w:r w:rsidRPr="005F5F47">
        <w:rPr>
          <w:rFonts w:ascii="Times New Roman" w:eastAsia="Times New Roman" w:hAnsi="Times New Roman" w:cs="Times New Roman"/>
          <w:b/>
          <w:bCs/>
          <w:sz w:val="24"/>
          <w:szCs w:val="24"/>
          <w:lang w:eastAsia="en-SG"/>
        </w:rPr>
        <w:t>Protect the interest of the general public.</w:t>
      </w:r>
      <w:r w:rsidRPr="005F5F47">
        <w:rPr>
          <w:rFonts w:ascii="Times New Roman" w:eastAsia="Times New Roman" w:hAnsi="Times New Roman" w:cs="Times New Roman"/>
          <w:sz w:val="24"/>
          <w:szCs w:val="24"/>
          <w:lang w:eastAsia="en-SG"/>
        </w:rPr>
        <w:t xml:space="preserve"> (Boldfacing added)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lastRenderedPageBreak/>
        <w:t xml:space="preserve">In sum, the </w:t>
      </w:r>
      <w:r w:rsidRPr="005F5F47">
        <w:rPr>
          <w:rFonts w:ascii="Times New Roman" w:eastAsia="Times New Roman" w:hAnsi="Times New Roman" w:cs="Times New Roman"/>
          <w:i/>
          <w:iCs/>
          <w:sz w:val="24"/>
          <w:szCs w:val="24"/>
          <w:lang w:eastAsia="en-SG"/>
        </w:rPr>
        <w:t xml:space="preserve">raison </w:t>
      </w:r>
      <w:proofErr w:type="spellStart"/>
      <w:r w:rsidRPr="005F5F47">
        <w:rPr>
          <w:rFonts w:ascii="Times New Roman" w:eastAsia="Times New Roman" w:hAnsi="Times New Roman" w:cs="Times New Roman"/>
          <w:i/>
          <w:iCs/>
          <w:sz w:val="24"/>
          <w:szCs w:val="24"/>
          <w:lang w:eastAsia="en-SG"/>
        </w:rPr>
        <w:t>d'etre</w:t>
      </w:r>
      <w:proofErr w:type="spellEnd"/>
      <w:r w:rsidRPr="005F5F47">
        <w:rPr>
          <w:rFonts w:ascii="Times New Roman" w:eastAsia="Times New Roman" w:hAnsi="Times New Roman" w:cs="Times New Roman"/>
          <w:sz w:val="24"/>
          <w:szCs w:val="24"/>
          <w:lang w:eastAsia="en-SG"/>
        </w:rPr>
        <w:t xml:space="preserve"> of CSP is to ensure transparency and competition in the procurement of power supply by DUs so as to provide the least-cost electricity to the consuming public.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clear text of Section 3 of the 2015 DOE Circular mandates the conduct of CSP after the Circular's effectivity on 30 June 2015.</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 xml:space="preserve">Section 3. Standard Features in the Conduct of CSP. </w:t>
      </w:r>
      <w:r w:rsidRPr="005F5F47">
        <w:rPr>
          <w:rFonts w:ascii="Times New Roman" w:eastAsia="Times New Roman" w:hAnsi="Times New Roman" w:cs="Times New Roman"/>
          <w:b/>
          <w:bCs/>
          <w:i/>
          <w:iCs/>
          <w:sz w:val="24"/>
          <w:szCs w:val="24"/>
          <w:lang w:eastAsia="en-SG"/>
        </w:rPr>
        <w:t>After the effectivity of this Circular</w:t>
      </w:r>
      <w:r w:rsidRPr="005F5F47">
        <w:rPr>
          <w:rFonts w:ascii="Times New Roman" w:eastAsia="Times New Roman" w:hAnsi="Times New Roman" w:cs="Times New Roman"/>
          <w:b/>
          <w:bCs/>
          <w:sz w:val="24"/>
          <w:szCs w:val="24"/>
          <w:lang w:eastAsia="en-SG"/>
        </w:rPr>
        <w:t>, all DUs shall procure PSAs only through CSP conducted through a Third Party duly recognized by the ERC and the DOE.</w:t>
      </w:r>
      <w:r w:rsidRPr="005F5F47">
        <w:rPr>
          <w:rFonts w:ascii="Times New Roman" w:eastAsia="Times New Roman" w:hAnsi="Times New Roman" w:cs="Times New Roman"/>
          <w:sz w:val="24"/>
          <w:szCs w:val="24"/>
          <w:lang w:eastAsia="en-SG"/>
        </w:rPr>
        <w:t xml:space="preserve"> In case of the [Electric Cooperatives (ECs)], the Third Party shall also be duly recognized by the National Electrification Administration (NEA).</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(Boldfacing and italicization added)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Section 5 of the 2015 DOE Circular states the non-retroactivity of the Circular's effect.</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Section 5. Non-Retroactivity. This Circular shall have prospective application and will not apply to PSAs with tariff rates already approved and/or have been </w:t>
      </w:r>
      <w:r w:rsidRPr="005F5F47">
        <w:rPr>
          <w:rFonts w:ascii="Times New Roman" w:eastAsia="Times New Roman" w:hAnsi="Times New Roman" w:cs="Times New Roman"/>
          <w:b/>
          <w:bCs/>
          <w:sz w:val="24"/>
          <w:szCs w:val="24"/>
          <w:lang w:eastAsia="en-SG"/>
        </w:rPr>
        <w:t>filed for approval by the ERC before the effectivity of this Circular</w:t>
      </w:r>
      <w:r w:rsidRPr="005F5F47">
        <w:rPr>
          <w:rFonts w:ascii="Times New Roman" w:eastAsia="Times New Roman" w:hAnsi="Times New Roman" w:cs="Times New Roman"/>
          <w:sz w:val="24"/>
          <w:szCs w:val="24"/>
          <w:lang w:eastAsia="en-SG"/>
        </w:rPr>
        <w:t>. (Boldfacing added)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Clearly, PSAs filed with the ERC </w:t>
      </w:r>
      <w:r w:rsidRPr="005F5F47">
        <w:rPr>
          <w:rFonts w:ascii="Times New Roman" w:eastAsia="Times New Roman" w:hAnsi="Times New Roman" w:cs="Times New Roman"/>
          <w:b/>
          <w:bCs/>
          <w:sz w:val="24"/>
          <w:szCs w:val="24"/>
          <w:lang w:eastAsia="en-SG"/>
        </w:rPr>
        <w:t>after</w:t>
      </w:r>
      <w:r w:rsidRPr="005F5F47">
        <w:rPr>
          <w:rFonts w:ascii="Times New Roman" w:eastAsia="Times New Roman" w:hAnsi="Times New Roman" w:cs="Times New Roman"/>
          <w:sz w:val="24"/>
          <w:szCs w:val="24"/>
          <w:lang w:eastAsia="en-SG"/>
        </w:rPr>
        <w:t xml:space="preserve"> the effectivity of the 2015 DOE Circular must comply with CSP as only PSAs filed "</w:t>
      </w:r>
      <w:r w:rsidRPr="005F5F47">
        <w:rPr>
          <w:rFonts w:ascii="Times New Roman" w:eastAsia="Times New Roman" w:hAnsi="Times New Roman" w:cs="Times New Roman"/>
          <w:b/>
          <w:bCs/>
          <w:sz w:val="24"/>
          <w:szCs w:val="24"/>
          <w:lang w:eastAsia="en-SG"/>
        </w:rPr>
        <w:t>before the effectivity</w:t>
      </w:r>
      <w:r w:rsidRPr="005F5F47">
        <w:rPr>
          <w:rFonts w:ascii="Times New Roman" w:eastAsia="Times New Roman" w:hAnsi="Times New Roman" w:cs="Times New Roman"/>
          <w:sz w:val="24"/>
          <w:szCs w:val="24"/>
          <w:lang w:eastAsia="en-SG"/>
        </w:rPr>
        <w:t>" of the Circular are excluded from CSP.</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Section 10 of the 2015 DOE Circular provides for its effectivity</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Section 10. Effectivity. This Circular shall take effect immediately upon its publication</w:t>
      </w:r>
      <w:r w:rsidRPr="005F5F47">
        <w:rPr>
          <w:rFonts w:ascii="Times New Roman" w:eastAsia="Times New Roman" w:hAnsi="Times New Roman" w:cs="Times New Roman"/>
          <w:sz w:val="24"/>
          <w:szCs w:val="24"/>
          <w:lang w:eastAsia="en-SG"/>
        </w:rPr>
        <w:t xml:space="preserve"> in two (2) newspapers of general circulation and shall remain in effect until otherwise revoked. (Boldfacing added)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The 2015 DOE Circular took effect upon its publication on 30 June 2015 in the </w:t>
      </w:r>
      <w:r w:rsidRPr="005F5F47">
        <w:rPr>
          <w:rFonts w:ascii="Times New Roman" w:eastAsia="Times New Roman" w:hAnsi="Times New Roman" w:cs="Times New Roman"/>
          <w:i/>
          <w:iCs/>
          <w:sz w:val="24"/>
          <w:szCs w:val="24"/>
          <w:lang w:eastAsia="en-SG"/>
        </w:rPr>
        <w:t>Philippine Daily Inquirer</w:t>
      </w:r>
      <w:r w:rsidRPr="005F5F47">
        <w:rPr>
          <w:rFonts w:ascii="Times New Roman" w:eastAsia="Times New Roman" w:hAnsi="Times New Roman" w:cs="Times New Roman"/>
          <w:sz w:val="24"/>
          <w:szCs w:val="24"/>
          <w:lang w:eastAsia="en-SG"/>
        </w:rPr>
        <w:t xml:space="preserve"> and the </w:t>
      </w:r>
      <w:r w:rsidRPr="005F5F47">
        <w:rPr>
          <w:rFonts w:ascii="Times New Roman" w:eastAsia="Times New Roman" w:hAnsi="Times New Roman" w:cs="Times New Roman"/>
          <w:i/>
          <w:iCs/>
          <w:sz w:val="24"/>
          <w:szCs w:val="24"/>
          <w:lang w:eastAsia="en-SG"/>
        </w:rPr>
        <w:t>Philippine Star</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[74]</w:t>
      </w:r>
      <w:r w:rsidRPr="005F5F47">
        <w:rPr>
          <w:rFonts w:ascii="Times New Roman" w:eastAsia="Times New Roman" w:hAnsi="Times New Roman" w:cs="Times New Roman"/>
          <w:sz w:val="24"/>
          <w:szCs w:val="24"/>
          <w:lang w:eastAsia="en-SG"/>
        </w:rPr>
        <w:t xml:space="preserve"> Section 10 expressly declares that the "</w:t>
      </w:r>
      <w:r w:rsidRPr="005F5F47">
        <w:rPr>
          <w:rFonts w:ascii="Times New Roman" w:eastAsia="Times New Roman" w:hAnsi="Times New Roman" w:cs="Times New Roman"/>
          <w:b/>
          <w:bCs/>
          <w:sz w:val="24"/>
          <w:szCs w:val="24"/>
          <w:lang w:eastAsia="en-SG"/>
        </w:rPr>
        <w:t xml:space="preserve">Circular x </w:t>
      </w:r>
      <w:proofErr w:type="spellStart"/>
      <w:r w:rsidRPr="005F5F47">
        <w:rPr>
          <w:rFonts w:ascii="Times New Roman" w:eastAsia="Times New Roman" w:hAnsi="Times New Roman" w:cs="Times New Roman"/>
          <w:b/>
          <w:bCs/>
          <w:sz w:val="24"/>
          <w:szCs w:val="24"/>
          <w:lang w:eastAsia="en-SG"/>
        </w:rPr>
        <w:t>x</w:t>
      </w:r>
      <w:proofErr w:type="spellEnd"/>
      <w:r w:rsidRPr="005F5F47">
        <w:rPr>
          <w:rFonts w:ascii="Times New Roman" w:eastAsia="Times New Roman" w:hAnsi="Times New Roman" w:cs="Times New Roman"/>
          <w:b/>
          <w:bCs/>
          <w:sz w:val="24"/>
          <w:szCs w:val="24"/>
          <w:lang w:eastAsia="en-SG"/>
        </w:rPr>
        <w:t xml:space="preserve"> </w:t>
      </w:r>
      <w:proofErr w:type="spellStart"/>
      <w:r w:rsidRPr="005F5F47">
        <w:rPr>
          <w:rFonts w:ascii="Times New Roman" w:eastAsia="Times New Roman" w:hAnsi="Times New Roman" w:cs="Times New Roman"/>
          <w:b/>
          <w:bCs/>
          <w:sz w:val="24"/>
          <w:szCs w:val="24"/>
          <w:lang w:eastAsia="en-SG"/>
        </w:rPr>
        <w:t>x</w:t>
      </w:r>
      <w:proofErr w:type="spellEnd"/>
      <w:r w:rsidRPr="005F5F47">
        <w:rPr>
          <w:rFonts w:ascii="Times New Roman" w:eastAsia="Times New Roman" w:hAnsi="Times New Roman" w:cs="Times New Roman"/>
          <w:b/>
          <w:bCs/>
          <w:sz w:val="24"/>
          <w:szCs w:val="24"/>
          <w:lang w:eastAsia="en-SG"/>
        </w:rPr>
        <w:t xml:space="preserve"> shall remain in effect until otherwise revoked</w:t>
      </w:r>
      <w:r w:rsidRPr="005F5F47">
        <w:rPr>
          <w:rFonts w:ascii="Times New Roman" w:eastAsia="Times New Roman" w:hAnsi="Times New Roman" w:cs="Times New Roman"/>
          <w:sz w:val="24"/>
          <w:szCs w:val="24"/>
          <w:lang w:eastAsia="en-SG"/>
        </w:rPr>
        <w:t xml:space="preserve">." Indisputably, CSP became mandatory as of 30 June 2015. </w:t>
      </w:r>
      <w:r w:rsidRPr="005F5F47">
        <w:rPr>
          <w:rFonts w:ascii="Times New Roman" w:eastAsia="Times New Roman" w:hAnsi="Times New Roman" w:cs="Times New Roman"/>
          <w:b/>
          <w:bCs/>
          <w:sz w:val="24"/>
          <w:szCs w:val="24"/>
          <w:lang w:eastAsia="en-SG"/>
        </w:rPr>
        <w:t>Taking all these provisions together, all PSAs submitted to the ERC after the effectivity of the 2015 DOE Circular, on or after 30 June 2015, are required to undergo CSP.</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Since the 2015 DOE Circular was issued solely by the DOE, it is solely the DOE that can amend, postpone, or revoke the 2015 DOE Circular unless a higher authority, like the Congress or the President, amends or revokes it. </w:t>
      </w:r>
      <w:r w:rsidRPr="005F5F47">
        <w:rPr>
          <w:rFonts w:ascii="Times New Roman" w:eastAsia="Times New Roman" w:hAnsi="Times New Roman" w:cs="Times New Roman"/>
          <w:b/>
          <w:bCs/>
          <w:sz w:val="24"/>
          <w:szCs w:val="24"/>
          <w:lang w:eastAsia="en-SG"/>
        </w:rPr>
        <w:t>Certainly, the ERC has no authority to amend, postpone, or revoke the 2015 DOE Circular, including its date of effectivity.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Joint Resolution executed by DOE and the ERC on 20 October 2015 reiterated that the ERC shall issue the appropriate regulation to implement CSP. The Joint Resolution did not authorize the ERC to change the date of effectivity of the mandatory CSP. </w:t>
      </w:r>
      <w:r w:rsidRPr="005F5F47">
        <w:rPr>
          <w:rFonts w:ascii="Times New Roman" w:eastAsia="Times New Roman" w:hAnsi="Times New Roman" w:cs="Times New Roman"/>
          <w:b/>
          <w:bCs/>
          <w:sz w:val="24"/>
          <w:szCs w:val="24"/>
          <w:lang w:eastAsia="en-SG"/>
        </w:rPr>
        <w:t xml:space="preserve">The Joint Resolution expressly mandated that the "ERC shall issue the appropriate regulation </w:t>
      </w:r>
      <w:r w:rsidRPr="005F5F47">
        <w:rPr>
          <w:rFonts w:ascii="Times New Roman" w:eastAsia="Times New Roman" w:hAnsi="Times New Roman" w:cs="Times New Roman"/>
          <w:b/>
          <w:bCs/>
          <w:i/>
          <w:iCs/>
          <w:sz w:val="24"/>
          <w:szCs w:val="24"/>
          <w:lang w:eastAsia="en-SG"/>
        </w:rPr>
        <w:t>to implement</w:t>
      </w:r>
      <w:r w:rsidRPr="005F5F47">
        <w:rPr>
          <w:rFonts w:ascii="Times New Roman" w:eastAsia="Times New Roman" w:hAnsi="Times New Roman" w:cs="Times New Roman"/>
          <w:b/>
          <w:bCs/>
          <w:sz w:val="24"/>
          <w:szCs w:val="24"/>
          <w:lang w:eastAsia="en-SG"/>
        </w:rPr>
        <w:t>" CSP.</w:t>
      </w:r>
      <w:r w:rsidRPr="005F5F47">
        <w:rPr>
          <w:rFonts w:ascii="Times New Roman" w:eastAsia="Times New Roman" w:hAnsi="Times New Roman" w:cs="Times New Roman"/>
          <w:sz w:val="24"/>
          <w:szCs w:val="24"/>
          <w:lang w:eastAsia="en-SG"/>
        </w:rPr>
        <w:t xml:space="preserve"> The power "</w:t>
      </w:r>
      <w:r w:rsidRPr="005F5F47">
        <w:rPr>
          <w:rFonts w:ascii="Times New Roman" w:eastAsia="Times New Roman" w:hAnsi="Times New Roman" w:cs="Times New Roman"/>
          <w:b/>
          <w:bCs/>
          <w:sz w:val="24"/>
          <w:szCs w:val="24"/>
          <w:lang w:eastAsia="en-SG"/>
        </w:rPr>
        <w:t>to implement</w:t>
      </w:r>
      <w:r w:rsidRPr="005F5F47">
        <w:rPr>
          <w:rFonts w:ascii="Times New Roman" w:eastAsia="Times New Roman" w:hAnsi="Times New Roman" w:cs="Times New Roman"/>
          <w:sz w:val="24"/>
          <w:szCs w:val="24"/>
          <w:lang w:eastAsia="en-SG"/>
        </w:rPr>
        <w:t xml:space="preserve">" CSP does not include the power </w:t>
      </w:r>
      <w:r w:rsidRPr="005F5F47">
        <w:rPr>
          <w:rFonts w:ascii="Times New Roman" w:eastAsia="Times New Roman" w:hAnsi="Times New Roman" w:cs="Times New Roman"/>
          <w:b/>
          <w:bCs/>
          <w:sz w:val="24"/>
          <w:szCs w:val="24"/>
          <w:lang w:eastAsia="en-SG"/>
        </w:rPr>
        <w:t>to postpone</w:t>
      </w:r>
      <w:r w:rsidRPr="005F5F47">
        <w:rPr>
          <w:rFonts w:ascii="Times New Roman" w:eastAsia="Times New Roman" w:hAnsi="Times New Roman" w:cs="Times New Roman"/>
          <w:sz w:val="24"/>
          <w:szCs w:val="24"/>
          <w:lang w:eastAsia="en-SG"/>
        </w:rPr>
        <w:t xml:space="preserve"> the date of effectivity of CSP, which is expressly mandated in the 2015 DOE Circular to take effect upon the publication of the Circular. In fact, </w:t>
      </w:r>
      <w:r w:rsidRPr="005F5F47">
        <w:rPr>
          <w:rFonts w:ascii="Times New Roman" w:eastAsia="Times New Roman" w:hAnsi="Times New Roman" w:cs="Times New Roman"/>
          <w:b/>
          <w:bCs/>
          <w:sz w:val="24"/>
          <w:szCs w:val="24"/>
          <w:lang w:eastAsia="en-SG"/>
        </w:rPr>
        <w:t>to postpone</w:t>
      </w:r>
      <w:r w:rsidRPr="005F5F47">
        <w:rPr>
          <w:rFonts w:ascii="Times New Roman" w:eastAsia="Times New Roman" w:hAnsi="Times New Roman" w:cs="Times New Roman"/>
          <w:sz w:val="24"/>
          <w:szCs w:val="24"/>
          <w:lang w:eastAsia="en-SG"/>
        </w:rPr>
        <w:t xml:space="preserve"> is the opposite of "</w:t>
      </w:r>
      <w:r w:rsidRPr="005F5F47">
        <w:rPr>
          <w:rFonts w:ascii="Times New Roman" w:eastAsia="Times New Roman" w:hAnsi="Times New Roman" w:cs="Times New Roman"/>
          <w:b/>
          <w:bCs/>
          <w:sz w:val="24"/>
          <w:szCs w:val="24"/>
          <w:lang w:eastAsia="en-SG"/>
        </w:rPr>
        <w:t>to implement</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On the same date, 20 October 2015, the ERC issued the CSP Guidelines, which directed all DUs to conduct CSP in the procurement of their power supply for their captive markets. While the 2015 DOE Circular mandated CSP to take effect on 30 June 2015, </w:t>
      </w:r>
      <w:r w:rsidRPr="005F5F47">
        <w:rPr>
          <w:rFonts w:ascii="Times New Roman" w:eastAsia="Times New Roman" w:hAnsi="Times New Roman" w:cs="Times New Roman"/>
          <w:b/>
          <w:bCs/>
          <w:sz w:val="24"/>
          <w:szCs w:val="24"/>
          <w:lang w:eastAsia="en-SG"/>
        </w:rPr>
        <w:t xml:space="preserve">the ERC under the CSP Guidelines unilaterally postponed the date of effectivity of CSP from 30 June </w:t>
      </w:r>
      <w:r w:rsidRPr="005F5F47">
        <w:rPr>
          <w:rFonts w:ascii="Times New Roman" w:eastAsia="Times New Roman" w:hAnsi="Times New Roman" w:cs="Times New Roman"/>
          <w:b/>
          <w:bCs/>
          <w:sz w:val="24"/>
          <w:szCs w:val="24"/>
          <w:lang w:eastAsia="en-SG"/>
        </w:rPr>
        <w:lastRenderedPageBreak/>
        <w:t>2015 to 7 November 2015 or by 130 days</w:t>
      </w:r>
      <w:r w:rsidRPr="005F5F47">
        <w:rPr>
          <w:rFonts w:ascii="Times New Roman" w:eastAsia="Times New Roman" w:hAnsi="Times New Roman" w:cs="Times New Roman"/>
          <w:sz w:val="24"/>
          <w:szCs w:val="24"/>
          <w:lang w:eastAsia="en-SG"/>
        </w:rPr>
        <w:t>. This marks the first postponement by ERC of the effectivity of the mandatory CSP.</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 xml:space="preserve">On 15 March 2016, however, the ERC, for the second time, unilaterally postponed the date of effectivity of the mandatory CSP. On this date the ERC issued the ERC </w:t>
      </w:r>
      <w:proofErr w:type="spellStart"/>
      <w:r w:rsidRPr="005F5F47">
        <w:rPr>
          <w:rFonts w:ascii="Times New Roman" w:eastAsia="Times New Roman" w:hAnsi="Times New Roman" w:cs="Times New Roman"/>
          <w:b/>
          <w:bCs/>
          <w:sz w:val="24"/>
          <w:szCs w:val="24"/>
          <w:lang w:eastAsia="en-SG"/>
        </w:rPr>
        <w:t>Clarificatory</w:t>
      </w:r>
      <w:proofErr w:type="spellEnd"/>
      <w:r w:rsidRPr="005F5F47">
        <w:rPr>
          <w:rFonts w:ascii="Times New Roman" w:eastAsia="Times New Roman" w:hAnsi="Times New Roman" w:cs="Times New Roman"/>
          <w:b/>
          <w:bCs/>
          <w:sz w:val="24"/>
          <w:szCs w:val="24"/>
          <w:lang w:eastAsia="en-SG"/>
        </w:rPr>
        <w:t xml:space="preserve"> Resolution, which restated the date of effectivity of CSP from 7 November 2015 to 30 April 2016. The second postponement of the effectivity of CSP from 7 November 2015 to 30 April 2016, or by 175 days, allowed DUs to enter into contracts during the period of postponement to avoid the mandatory CSP.</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i/>
          <w:iCs/>
          <w:sz w:val="24"/>
          <w:szCs w:val="24"/>
          <w:lang w:eastAsia="en-SG"/>
        </w:rPr>
        <w:t xml:space="preserve">Why the ERC Acted in Excess of its Jurisdiction: Required Coordination </w:t>
      </w:r>
      <w:proofErr w:type="gramStart"/>
      <w:r w:rsidRPr="005F5F47">
        <w:rPr>
          <w:rFonts w:ascii="Times New Roman" w:eastAsia="Times New Roman" w:hAnsi="Times New Roman" w:cs="Times New Roman"/>
          <w:i/>
          <w:iCs/>
          <w:sz w:val="24"/>
          <w:szCs w:val="24"/>
          <w:lang w:eastAsia="en-SG"/>
        </w:rPr>
        <w:t>Between</w:t>
      </w:r>
      <w:proofErr w:type="gramEnd"/>
      <w:r w:rsidRPr="005F5F47">
        <w:rPr>
          <w:rFonts w:ascii="Times New Roman" w:eastAsia="Times New Roman" w:hAnsi="Times New Roman" w:cs="Times New Roman"/>
          <w:i/>
          <w:iCs/>
          <w:sz w:val="24"/>
          <w:szCs w:val="24"/>
          <w:lang w:eastAsia="en-SG"/>
        </w:rPr>
        <w:t xml:space="preserve"> the DOE and the ERC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2015 DOE Circular explicitly stated the instances that required joint action of the DOE and the ERC:</w:t>
      </w:r>
    </w:p>
    <w:p w:rsidR="005F5F47" w:rsidRPr="005F5F47" w:rsidRDefault="005F5F47" w:rsidP="005F5F47">
      <w:pPr>
        <w:numPr>
          <w:ilvl w:val="0"/>
          <w:numId w:val="5"/>
        </w:numPr>
        <w:spacing w:beforeAutospacing="1" w:after="240" w:line="240" w:lineRule="auto"/>
        <w:ind w:left="1440"/>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Recognition of the Third Party that will conduct the CSP for the procurement of PSAs by the DUs;</w:t>
      </w:r>
    </w:p>
    <w:p w:rsidR="005F5F47" w:rsidRPr="005F5F47" w:rsidRDefault="005F5F47" w:rsidP="005F5F47">
      <w:pPr>
        <w:numPr>
          <w:ilvl w:val="0"/>
          <w:numId w:val="5"/>
        </w:numPr>
        <w:spacing w:before="100" w:beforeAutospacing="1" w:after="240" w:line="240" w:lineRule="auto"/>
        <w:ind w:left="1440"/>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Issuance of guidelines and procedures for the aggregation of the un-contracted demand requirements of the DUs;</w:t>
      </w:r>
    </w:p>
    <w:p w:rsidR="005F5F47" w:rsidRPr="005F5F47" w:rsidRDefault="005F5F47" w:rsidP="005F5F47">
      <w:pPr>
        <w:numPr>
          <w:ilvl w:val="0"/>
          <w:numId w:val="5"/>
        </w:numPr>
        <w:spacing w:before="100" w:beforeAutospacing="1" w:after="240" w:line="240" w:lineRule="auto"/>
        <w:ind w:left="1440"/>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Issuance of guidelines and procedures for the recognition or accreditation of the Third Party that conducts the CSP; and</w:t>
      </w:r>
    </w:p>
    <w:p w:rsidR="005F5F47" w:rsidRPr="005F5F47" w:rsidRDefault="005F5F47" w:rsidP="005F5F47">
      <w:pPr>
        <w:numPr>
          <w:ilvl w:val="0"/>
          <w:numId w:val="5"/>
        </w:numPr>
        <w:spacing w:before="100" w:beforeAutospacing="1" w:after="100" w:afterAutospacing="1" w:line="240" w:lineRule="auto"/>
        <w:ind w:left="1440"/>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Issuance of supplemental guidelines and procedures to properly guide the DUs and the Third Party in the design and execution of the CSP.</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These instances are in Sections 3 and 4 of the 2015 DOE Circular:</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Section 3. Standard Features in the Conduct of CSP. After the effectivity of this Circular, </w:t>
      </w:r>
      <w:r w:rsidRPr="005F5F47">
        <w:rPr>
          <w:rFonts w:ascii="Times New Roman" w:eastAsia="Times New Roman" w:hAnsi="Times New Roman" w:cs="Times New Roman"/>
          <w:b/>
          <w:bCs/>
          <w:sz w:val="24"/>
          <w:szCs w:val="24"/>
          <w:lang w:eastAsia="en-SG"/>
        </w:rPr>
        <w:t>all DUs shall procure PSAs only through CSP conducted through a Third Party duly recognized by the ERC and the DOE</w:t>
      </w:r>
      <w:r w:rsidRPr="005F5F47">
        <w:rPr>
          <w:rFonts w:ascii="Times New Roman" w:eastAsia="Times New Roman" w:hAnsi="Times New Roman" w:cs="Times New Roman"/>
          <w:sz w:val="24"/>
          <w:szCs w:val="24"/>
          <w:lang w:eastAsia="en-SG"/>
        </w:rPr>
        <w:t>. In case of the [Electric Cooperatives (ECs)], the Third Party shall also be duly recognized by the National Electrification Administration (NEA).</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Within one hundred twenty (120) days from the effectivity of this Circular, </w:t>
      </w:r>
      <w:r w:rsidRPr="005F5F47">
        <w:rPr>
          <w:rFonts w:ascii="Times New Roman" w:eastAsia="Times New Roman" w:hAnsi="Times New Roman" w:cs="Times New Roman"/>
          <w:b/>
          <w:bCs/>
          <w:sz w:val="24"/>
          <w:szCs w:val="24"/>
          <w:lang w:eastAsia="en-SG"/>
        </w:rPr>
        <w:t>the ERC and [the] DOE shall jointly issue guidelines and procedures for the aggregation of the un-contracted demand requirements of the DUs and the process for the recognition or accreditation of the Third Party that conducts the CSP as hereto provided</w:t>
      </w:r>
      <w:r w:rsidRPr="005F5F47">
        <w:rPr>
          <w:rFonts w:ascii="Times New Roman" w:eastAsia="Times New Roman" w:hAnsi="Times New Roman" w:cs="Times New Roman"/>
          <w:sz w:val="24"/>
          <w:szCs w:val="24"/>
          <w:lang w:eastAsia="en-SG"/>
        </w:rPr>
        <w:t xml:space="preserve">.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Section 4. Supplemental Guidelines. To ensure efficiency and transparency of the CSP Process [sic], </w:t>
      </w:r>
      <w:r w:rsidRPr="005F5F47">
        <w:rPr>
          <w:rFonts w:ascii="Times New Roman" w:eastAsia="Times New Roman" w:hAnsi="Times New Roman" w:cs="Times New Roman"/>
          <w:b/>
          <w:bCs/>
          <w:sz w:val="24"/>
          <w:szCs w:val="24"/>
          <w:lang w:eastAsia="en-SG"/>
        </w:rPr>
        <w:t xml:space="preserve">the ERC, upon its determination and </w:t>
      </w:r>
      <w:r w:rsidRPr="005F5F47">
        <w:rPr>
          <w:rFonts w:ascii="Times New Roman" w:eastAsia="Times New Roman" w:hAnsi="Times New Roman" w:cs="Times New Roman"/>
          <w:b/>
          <w:bCs/>
          <w:i/>
          <w:iCs/>
          <w:sz w:val="24"/>
          <w:szCs w:val="24"/>
          <w:lang w:eastAsia="en-SG"/>
        </w:rPr>
        <w:t>in coordination with the DOE</w:t>
      </w:r>
      <w:r w:rsidRPr="005F5F47">
        <w:rPr>
          <w:rFonts w:ascii="Times New Roman" w:eastAsia="Times New Roman" w:hAnsi="Times New Roman" w:cs="Times New Roman"/>
          <w:b/>
          <w:bCs/>
          <w:sz w:val="24"/>
          <w:szCs w:val="24"/>
          <w:lang w:eastAsia="en-SG"/>
        </w:rPr>
        <w:t xml:space="preserve"> shall issue supplemental guidelines and procedures to properly guide the DUs and the Third Party in the design and execution of the CSP</w:t>
      </w:r>
      <w:r w:rsidRPr="005F5F47">
        <w:rPr>
          <w:rFonts w:ascii="Times New Roman" w:eastAsia="Times New Roman" w:hAnsi="Times New Roman" w:cs="Times New Roman"/>
          <w:sz w:val="24"/>
          <w:szCs w:val="24"/>
          <w:lang w:eastAsia="en-SG"/>
        </w:rPr>
        <w:t xml:space="preserve">. The supplemental guidelines should ensure that any CSP and its outcome shall redound to greater transparency in the procurement of electric supply, and promote greater private sector participation in the generation and supply </w:t>
      </w:r>
      <w:r w:rsidRPr="005F5F47">
        <w:rPr>
          <w:rFonts w:ascii="Times New Roman" w:eastAsia="Times New Roman" w:hAnsi="Times New Roman" w:cs="Times New Roman"/>
          <w:sz w:val="24"/>
          <w:szCs w:val="24"/>
          <w:lang w:eastAsia="en-SG"/>
        </w:rPr>
        <w:lastRenderedPageBreak/>
        <w:t>sectors, consistent with the declared policies under EPIRA. (Boldfacing and italicization added)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In all the foregoing instances, the ERC is mandated to act jointly with the DOE. All these instances merely implement CSP, and do not postpone CSP or amend the 2015 DOE Circular, which are beyond mere implementation of CSP. If the ERC cannot act by itself on certain instances in the mere implementation of CSP, then the ERC certainly cannot act by itself in the postponement of CSP or in the amendment of the 2015 DOE Circular.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We reiterate that the ERC unilaterally postponed the effectivity of the mandatory CSP </w:t>
      </w:r>
      <w:r w:rsidRPr="005F5F47">
        <w:rPr>
          <w:rFonts w:ascii="Times New Roman" w:eastAsia="Times New Roman" w:hAnsi="Times New Roman" w:cs="Times New Roman"/>
          <w:b/>
          <w:bCs/>
          <w:sz w:val="24"/>
          <w:szCs w:val="24"/>
          <w:lang w:eastAsia="en-SG"/>
        </w:rPr>
        <w:t>twice</w:t>
      </w:r>
      <w:r w:rsidRPr="005F5F47">
        <w:rPr>
          <w:rFonts w:ascii="Times New Roman" w:eastAsia="Times New Roman" w:hAnsi="Times New Roman" w:cs="Times New Roman"/>
          <w:sz w:val="24"/>
          <w:szCs w:val="24"/>
          <w:lang w:eastAsia="en-SG"/>
        </w:rPr>
        <w:t xml:space="preserve">. The ERC made the first unilateral postponement on 20 October 2015, when it stated that PSAs already filed with the ERC on or before 7 November 2015 were not required to undergo CSP. This first unilateral postponement was from 30 June 2015 to 7 November 2015, or a period of postponement of 130 days. The ERC made a second unilateral postponement on 15 March 2016, when it restated the effectivity of the CSP Guidelines from 7 November 2015 to 30 April 2016, or a postponement of 175 days. </w:t>
      </w:r>
      <w:r w:rsidRPr="005F5F47">
        <w:rPr>
          <w:rFonts w:ascii="Times New Roman" w:eastAsia="Times New Roman" w:hAnsi="Times New Roman" w:cs="Times New Roman"/>
          <w:b/>
          <w:bCs/>
          <w:sz w:val="24"/>
          <w:szCs w:val="24"/>
          <w:lang w:eastAsia="en-SG"/>
        </w:rPr>
        <w:t>All in all, the ERC, by itself and without authorization from or coordination with the DOE, postponed the effectivity of the mandatory CSP for 305 days.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ERC thus amended, and not merely supplemented, the "guidelines and procedures to properly guide the DUs and the Third Party in the design and execution of the CSP."</w:t>
      </w:r>
      <w:r w:rsidRPr="005F5F47">
        <w:rPr>
          <w:rFonts w:ascii="Times New Roman" w:eastAsia="Times New Roman" w:hAnsi="Times New Roman" w:cs="Times New Roman"/>
          <w:color w:val="FF0000"/>
          <w:sz w:val="24"/>
          <w:szCs w:val="24"/>
          <w:vertAlign w:val="superscript"/>
          <w:lang w:eastAsia="en-SG"/>
        </w:rPr>
        <w:t>[75]</w:t>
      </w:r>
      <w:r w:rsidRPr="005F5F47">
        <w:rPr>
          <w:rFonts w:ascii="Times New Roman" w:eastAsia="Times New Roman" w:hAnsi="Times New Roman" w:cs="Times New Roman"/>
          <w:sz w:val="24"/>
          <w:szCs w:val="24"/>
          <w:lang w:eastAsia="en-SG"/>
        </w:rPr>
        <w:t xml:space="preserve"> This is contrary to what the 2015 DOE Circular clearly intended - that CSP shall take effect upon the Circular's publication on 30 June 2015.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In its Comment to the present petition</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76]</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lang w:eastAsia="en-SG"/>
        </w:rPr>
        <w:t xml:space="preserve">the DOE denied any responsibility in the ERC's restatement of the effective date in the ERC </w:t>
      </w:r>
      <w:proofErr w:type="spellStart"/>
      <w:r w:rsidRPr="005F5F47">
        <w:rPr>
          <w:rFonts w:ascii="Times New Roman" w:eastAsia="Times New Roman" w:hAnsi="Times New Roman" w:cs="Times New Roman"/>
          <w:b/>
          <w:bCs/>
          <w:sz w:val="24"/>
          <w:szCs w:val="24"/>
          <w:lang w:eastAsia="en-SG"/>
        </w:rPr>
        <w:t>Clarificatory</w:t>
      </w:r>
      <w:proofErr w:type="spellEnd"/>
      <w:r w:rsidRPr="005F5F47">
        <w:rPr>
          <w:rFonts w:ascii="Times New Roman" w:eastAsia="Times New Roman" w:hAnsi="Times New Roman" w:cs="Times New Roman"/>
          <w:b/>
          <w:bCs/>
          <w:sz w:val="24"/>
          <w:szCs w:val="24"/>
          <w:lang w:eastAsia="en-SG"/>
        </w:rPr>
        <w:t xml:space="preserve"> Resolution</w:t>
      </w:r>
      <w:r w:rsidRPr="005F5F47">
        <w:rPr>
          <w:rFonts w:ascii="Times New Roman" w:eastAsia="Times New Roman" w:hAnsi="Times New Roman" w:cs="Times New Roman"/>
          <w:sz w:val="24"/>
          <w:szCs w:val="24"/>
          <w:lang w:eastAsia="en-SG"/>
        </w:rPr>
        <w:t>. The DOE stated:</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15. </w:t>
      </w:r>
      <w:r w:rsidRPr="005F5F47">
        <w:rPr>
          <w:rFonts w:ascii="Times New Roman" w:eastAsia="Times New Roman" w:hAnsi="Times New Roman" w:cs="Times New Roman"/>
          <w:b/>
          <w:bCs/>
          <w:sz w:val="24"/>
          <w:szCs w:val="24"/>
          <w:lang w:eastAsia="en-SG"/>
        </w:rPr>
        <w:t>DOE is not aware of the cut-off date shift.</w:t>
      </w:r>
      <w:r w:rsidRPr="005F5F47">
        <w:rPr>
          <w:rFonts w:ascii="Times New Roman" w:eastAsia="Times New Roman" w:hAnsi="Times New Roman" w:cs="Times New Roman"/>
          <w:sz w:val="24"/>
          <w:szCs w:val="24"/>
          <w:lang w:eastAsia="en-SG"/>
        </w:rPr>
        <w:t xml:space="preserve"> There is nothing on record that shows that ERC, contrary to Section 4 of the [2015] DOE Circular, coordinated with DOE in "restating" the date of effectivity to a later date, or from 7 November 2015 to 30 April 2016 for a period of one-hundred and seventy-five (175) days.</w:t>
      </w:r>
      <w:r w:rsidRPr="005F5F47">
        <w:rPr>
          <w:rFonts w:ascii="Times New Roman" w:eastAsia="Times New Roman" w:hAnsi="Times New Roman" w:cs="Times New Roman"/>
          <w:color w:val="FF0000"/>
          <w:sz w:val="24"/>
          <w:szCs w:val="24"/>
          <w:vertAlign w:val="superscript"/>
          <w:lang w:eastAsia="en-SG"/>
        </w:rPr>
        <w:t>[77]</w:t>
      </w:r>
      <w:r w:rsidRPr="005F5F47">
        <w:rPr>
          <w:rFonts w:ascii="Times New Roman" w:eastAsia="Times New Roman" w:hAnsi="Times New Roman" w:cs="Times New Roman"/>
          <w:sz w:val="24"/>
          <w:szCs w:val="24"/>
          <w:lang w:eastAsia="en-SG"/>
        </w:rPr>
        <w:t xml:space="preserve"> (Boldfacing added)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In contrast, there is nothing in the ERC's 60-page </w:t>
      </w:r>
      <w:proofErr w:type="gramStart"/>
      <w:r w:rsidRPr="005F5F47">
        <w:rPr>
          <w:rFonts w:ascii="Times New Roman" w:eastAsia="Times New Roman" w:hAnsi="Times New Roman" w:cs="Times New Roman"/>
          <w:sz w:val="24"/>
          <w:szCs w:val="24"/>
          <w:lang w:eastAsia="en-SG"/>
        </w:rPr>
        <w:t>Comment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78]</w:t>
      </w:r>
      <w:r w:rsidRPr="005F5F47">
        <w:rPr>
          <w:rFonts w:ascii="Times New Roman" w:eastAsia="Times New Roman" w:hAnsi="Times New Roman" w:cs="Times New Roman"/>
          <w:sz w:val="24"/>
          <w:szCs w:val="24"/>
          <w:lang w:eastAsia="en-SG"/>
        </w:rPr>
        <w:t xml:space="preserve"> which disavowed DOE's allegation of non-coordination. If anything, the ERC's Comment underscored its assertion that </w:t>
      </w:r>
      <w:r w:rsidRPr="005F5F47">
        <w:rPr>
          <w:rFonts w:ascii="Times New Roman" w:eastAsia="Times New Roman" w:hAnsi="Times New Roman" w:cs="Times New Roman"/>
          <w:b/>
          <w:bCs/>
          <w:sz w:val="24"/>
          <w:szCs w:val="24"/>
          <w:lang w:eastAsia="en-SG"/>
        </w:rPr>
        <w:t xml:space="preserve">the ERC </w:t>
      </w:r>
      <w:proofErr w:type="spellStart"/>
      <w:r w:rsidRPr="005F5F47">
        <w:rPr>
          <w:rFonts w:ascii="Times New Roman" w:eastAsia="Times New Roman" w:hAnsi="Times New Roman" w:cs="Times New Roman"/>
          <w:b/>
          <w:bCs/>
          <w:sz w:val="24"/>
          <w:szCs w:val="24"/>
          <w:lang w:eastAsia="en-SG"/>
        </w:rPr>
        <w:t>Clarificatory</w:t>
      </w:r>
      <w:proofErr w:type="spellEnd"/>
      <w:r w:rsidRPr="005F5F47">
        <w:rPr>
          <w:rFonts w:ascii="Times New Roman" w:eastAsia="Times New Roman" w:hAnsi="Times New Roman" w:cs="Times New Roman"/>
          <w:b/>
          <w:bCs/>
          <w:sz w:val="24"/>
          <w:szCs w:val="24"/>
          <w:lang w:eastAsia="en-SG"/>
        </w:rPr>
        <w:t xml:space="preserve"> Resolution was solely issued by the ERC</w:t>
      </w:r>
      <w:r w:rsidRPr="005F5F47">
        <w:rPr>
          <w:rFonts w:ascii="Times New Roman" w:eastAsia="Times New Roman" w:hAnsi="Times New Roman" w:cs="Times New Roman"/>
          <w:sz w:val="24"/>
          <w:szCs w:val="24"/>
          <w:lang w:eastAsia="en-SG"/>
        </w:rPr>
        <w:t xml:space="preserve"> supposedly as "a legitimate exercise of its quasi-legislative powers granted by law."</w:t>
      </w:r>
      <w:r w:rsidRPr="005F5F47">
        <w:rPr>
          <w:rFonts w:ascii="Times New Roman" w:eastAsia="Times New Roman" w:hAnsi="Times New Roman" w:cs="Times New Roman"/>
          <w:color w:val="FF0000"/>
          <w:sz w:val="24"/>
          <w:szCs w:val="24"/>
          <w:vertAlign w:val="superscript"/>
          <w:lang w:eastAsia="en-SG"/>
        </w:rPr>
        <w:t>[79</w:t>
      </w:r>
      <w:proofErr w:type="gramStart"/>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We do not doubt that the ERC has the power to issue the appropriate regulation </w:t>
      </w:r>
      <w:r w:rsidRPr="005F5F47">
        <w:rPr>
          <w:rFonts w:ascii="Times New Roman" w:eastAsia="Times New Roman" w:hAnsi="Times New Roman" w:cs="Times New Roman"/>
          <w:b/>
          <w:bCs/>
          <w:sz w:val="24"/>
          <w:szCs w:val="24"/>
          <w:lang w:eastAsia="en-SG"/>
        </w:rPr>
        <w:t>to implement</w:t>
      </w:r>
      <w:r w:rsidRPr="005F5F47">
        <w:rPr>
          <w:rFonts w:ascii="Times New Roman" w:eastAsia="Times New Roman" w:hAnsi="Times New Roman" w:cs="Times New Roman"/>
          <w:sz w:val="24"/>
          <w:szCs w:val="24"/>
          <w:lang w:eastAsia="en-SG"/>
        </w:rPr>
        <w:t xml:space="preserve"> CSP. This is clear from the EPIRA and the 2015 DOE Circular. Indeed, Justice Reyes in his Dissenting Opinion </w:t>
      </w:r>
      <w:proofErr w:type="spellStart"/>
      <w:r w:rsidRPr="005F5F47">
        <w:rPr>
          <w:rFonts w:ascii="Times New Roman" w:eastAsia="Times New Roman" w:hAnsi="Times New Roman" w:cs="Times New Roman"/>
          <w:sz w:val="24"/>
          <w:szCs w:val="24"/>
          <w:lang w:eastAsia="en-SG"/>
        </w:rPr>
        <w:t>belabored</w:t>
      </w:r>
      <w:proofErr w:type="spellEnd"/>
      <w:r w:rsidRPr="005F5F47">
        <w:rPr>
          <w:rFonts w:ascii="Times New Roman" w:eastAsia="Times New Roman" w:hAnsi="Times New Roman" w:cs="Times New Roman"/>
          <w:sz w:val="24"/>
          <w:szCs w:val="24"/>
          <w:lang w:eastAsia="en-SG"/>
        </w:rPr>
        <w:t xml:space="preserve"> this delegated power by underscoring the existence of the Joint Resolution. Justice Reyes misunderstood the delegation of power to mean that the Joint Resolution, by itself, is the required "coordination" in the implementation of CSP. Under this theory of Justice Reyes, the required "coordination" could take place </w:t>
      </w:r>
      <w:r w:rsidRPr="005F5F47">
        <w:rPr>
          <w:rFonts w:ascii="Times New Roman" w:eastAsia="Times New Roman" w:hAnsi="Times New Roman" w:cs="Times New Roman"/>
          <w:b/>
          <w:bCs/>
          <w:sz w:val="24"/>
          <w:szCs w:val="24"/>
          <w:lang w:eastAsia="en-SG"/>
        </w:rPr>
        <w:t>only once</w:t>
      </w:r>
      <w:r w:rsidRPr="005F5F47">
        <w:rPr>
          <w:rFonts w:ascii="Times New Roman" w:eastAsia="Times New Roman" w:hAnsi="Times New Roman" w:cs="Times New Roman"/>
          <w:sz w:val="24"/>
          <w:szCs w:val="24"/>
          <w:lang w:eastAsia="en-SG"/>
        </w:rPr>
        <w:t xml:space="preserve"> upon the issuance of the Joint Resolution, and there can be no other coordination required in the future even if the ERC issues additional guidelines or regulations to implement CSP. This interpretation is obviously erroneous.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Moreover, </w:t>
      </w:r>
      <w:r w:rsidRPr="005F5F47">
        <w:rPr>
          <w:rFonts w:ascii="Times New Roman" w:eastAsia="Times New Roman" w:hAnsi="Times New Roman" w:cs="Times New Roman"/>
          <w:b/>
          <w:bCs/>
          <w:sz w:val="24"/>
          <w:szCs w:val="24"/>
          <w:lang w:eastAsia="en-SG"/>
        </w:rPr>
        <w:t>the ERC's power is neither absolute nor unbridled</w:t>
      </w:r>
      <w:r w:rsidRPr="005F5F47">
        <w:rPr>
          <w:rFonts w:ascii="Times New Roman" w:eastAsia="Times New Roman" w:hAnsi="Times New Roman" w:cs="Times New Roman"/>
          <w:sz w:val="24"/>
          <w:szCs w:val="24"/>
          <w:lang w:eastAsia="en-SG"/>
        </w:rPr>
        <w:t>. The ERC can only promulgate rules, but only insofar as it is authorized. Section 4(b) of Rule 3 of the Implementing Rules and Regulations of the EPIRA states: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Pursuant to Sections 43 and 45 of the Act, </w:t>
      </w:r>
      <w:r w:rsidRPr="005F5F47">
        <w:rPr>
          <w:rFonts w:ascii="Times New Roman" w:eastAsia="Times New Roman" w:hAnsi="Times New Roman" w:cs="Times New Roman"/>
          <w:b/>
          <w:bCs/>
          <w:sz w:val="24"/>
          <w:szCs w:val="24"/>
          <w:lang w:eastAsia="en-SG"/>
        </w:rPr>
        <w:t xml:space="preserve">the ERC shall promulgate such rules and regulations </w:t>
      </w:r>
      <w:r w:rsidRPr="005F5F47">
        <w:rPr>
          <w:rFonts w:ascii="Times New Roman" w:eastAsia="Times New Roman" w:hAnsi="Times New Roman" w:cs="Times New Roman"/>
          <w:b/>
          <w:bCs/>
          <w:i/>
          <w:iCs/>
          <w:sz w:val="24"/>
          <w:szCs w:val="24"/>
          <w:lang w:eastAsia="en-SG"/>
        </w:rPr>
        <w:t>as authorized thereby</w:t>
      </w:r>
      <w:r w:rsidRPr="005F5F47">
        <w:rPr>
          <w:rFonts w:ascii="Times New Roman" w:eastAsia="Times New Roman" w:hAnsi="Times New Roman" w:cs="Times New Roman"/>
          <w:sz w:val="24"/>
          <w:szCs w:val="24"/>
          <w:lang w:eastAsia="en-SG"/>
        </w:rPr>
        <w:t xml:space="preserve">, including but not limited to Competition Rules and </w:t>
      </w:r>
      <w:r w:rsidRPr="005F5F47">
        <w:rPr>
          <w:rFonts w:ascii="Times New Roman" w:eastAsia="Times New Roman" w:hAnsi="Times New Roman" w:cs="Times New Roman"/>
          <w:sz w:val="24"/>
          <w:szCs w:val="24"/>
          <w:lang w:eastAsia="en-SG"/>
        </w:rPr>
        <w:lastRenderedPageBreak/>
        <w:t>limitations on recovery of system losses, and shall impose fines or penalties for any non-compliance with or breach of the Act, these Rules and the rules and regulations which it promulgates or administers. (Boldfacing and italicization added)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The 2015 DOE Circular </w:t>
      </w:r>
      <w:r w:rsidRPr="005F5F47">
        <w:rPr>
          <w:rFonts w:ascii="Times New Roman" w:eastAsia="Times New Roman" w:hAnsi="Times New Roman" w:cs="Times New Roman"/>
          <w:b/>
          <w:bCs/>
          <w:sz w:val="24"/>
          <w:szCs w:val="24"/>
          <w:lang w:eastAsia="en-SG"/>
        </w:rPr>
        <w:t>specifically stated</w:t>
      </w:r>
      <w:r w:rsidRPr="005F5F47">
        <w:rPr>
          <w:rFonts w:ascii="Times New Roman" w:eastAsia="Times New Roman" w:hAnsi="Times New Roman" w:cs="Times New Roman"/>
          <w:sz w:val="24"/>
          <w:szCs w:val="24"/>
          <w:lang w:eastAsia="en-SG"/>
        </w:rPr>
        <w:t xml:space="preserve"> that </w:t>
      </w:r>
      <w:r w:rsidRPr="005F5F47">
        <w:rPr>
          <w:rFonts w:ascii="Times New Roman" w:eastAsia="Times New Roman" w:hAnsi="Times New Roman" w:cs="Times New Roman"/>
          <w:b/>
          <w:bCs/>
          <w:sz w:val="24"/>
          <w:szCs w:val="24"/>
          <w:lang w:eastAsia="en-SG"/>
        </w:rPr>
        <w:t>the ERC's power to issue CSP guidelines and procedures should be exercised "</w:t>
      </w:r>
      <w:r w:rsidRPr="005F5F47">
        <w:rPr>
          <w:rFonts w:ascii="Times New Roman" w:eastAsia="Times New Roman" w:hAnsi="Times New Roman" w:cs="Times New Roman"/>
          <w:b/>
          <w:bCs/>
          <w:i/>
          <w:iCs/>
          <w:sz w:val="24"/>
          <w:szCs w:val="24"/>
          <w:lang w:eastAsia="en-SG"/>
        </w:rPr>
        <w:t>in coordination with the DOE</w:t>
      </w:r>
      <w:r w:rsidRPr="005F5F47">
        <w:rPr>
          <w:rFonts w:ascii="Times New Roman" w:eastAsia="Times New Roman" w:hAnsi="Times New Roman" w:cs="Times New Roman"/>
          <w:b/>
          <w:bCs/>
          <w:sz w:val="24"/>
          <w:szCs w:val="24"/>
          <w:lang w:eastAsia="en-SG"/>
        </w:rPr>
        <w:t>."</w:t>
      </w:r>
      <w:r w:rsidRPr="005F5F47">
        <w:rPr>
          <w:rFonts w:ascii="Times New Roman" w:eastAsia="Times New Roman" w:hAnsi="Times New Roman" w:cs="Times New Roman"/>
          <w:sz w:val="24"/>
          <w:szCs w:val="24"/>
          <w:lang w:eastAsia="en-SG"/>
        </w:rPr>
        <w:t xml:space="preserve"> The purpose of such coordination was "</w:t>
      </w:r>
      <w:r w:rsidRPr="005F5F47">
        <w:rPr>
          <w:rFonts w:ascii="Times New Roman" w:eastAsia="Times New Roman" w:hAnsi="Times New Roman" w:cs="Times New Roman"/>
          <w:b/>
          <w:bCs/>
          <w:sz w:val="24"/>
          <w:szCs w:val="24"/>
          <w:lang w:eastAsia="en-SG"/>
        </w:rPr>
        <w:t>to ensure efficiency and transparency in the CSP</w:t>
      </w:r>
      <w:r w:rsidRPr="005F5F47">
        <w:rPr>
          <w:rFonts w:ascii="Times New Roman" w:eastAsia="Times New Roman" w:hAnsi="Times New Roman" w:cs="Times New Roman"/>
          <w:sz w:val="24"/>
          <w:szCs w:val="24"/>
          <w:lang w:eastAsia="en-SG"/>
        </w:rPr>
        <w:t xml:space="preserve">." In short, the ERC could not issue CSP guidelines and procedures without coordination with DOE. The DOE has expressly declared that the ERC did not coordinate with DOE in issuing the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 The ERC's unilateral postponement of CSP for 305 days, allowing DUs to avoid the mandatory CSP to the great prejudice of the public, was clearly without authority and manifestly constituted grave abuse of discretion. Moreover, the ERC's unilateral postponement of CSP egregiously prevented "transparency" and resulted in inefficiency by delaying the implementation of CSP.</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In their Dissenting Opinions, Justice Reyes</w:t>
      </w:r>
      <w:r w:rsidRPr="005F5F47">
        <w:rPr>
          <w:rFonts w:ascii="Times New Roman" w:eastAsia="Times New Roman" w:hAnsi="Times New Roman" w:cs="Times New Roman"/>
          <w:color w:val="FF0000"/>
          <w:sz w:val="24"/>
          <w:szCs w:val="24"/>
          <w:vertAlign w:val="superscript"/>
          <w:lang w:eastAsia="en-SG"/>
        </w:rPr>
        <w:t>[80]</w:t>
      </w:r>
      <w:r w:rsidRPr="005F5F47">
        <w:rPr>
          <w:rFonts w:ascii="Times New Roman" w:eastAsia="Times New Roman" w:hAnsi="Times New Roman" w:cs="Times New Roman"/>
          <w:sz w:val="24"/>
          <w:szCs w:val="24"/>
          <w:lang w:eastAsia="en-SG"/>
        </w:rPr>
        <w:t xml:space="preserve"> and Justice </w:t>
      </w:r>
      <w:proofErr w:type="spellStart"/>
      <w:r w:rsidRPr="005F5F47">
        <w:rPr>
          <w:rFonts w:ascii="Times New Roman" w:eastAsia="Times New Roman" w:hAnsi="Times New Roman" w:cs="Times New Roman"/>
          <w:sz w:val="24"/>
          <w:szCs w:val="24"/>
          <w:lang w:eastAsia="en-SG"/>
        </w:rPr>
        <w:t>Caguioa</w:t>
      </w:r>
      <w:proofErr w:type="spellEnd"/>
      <w:r w:rsidRPr="005F5F47">
        <w:rPr>
          <w:rFonts w:ascii="Times New Roman" w:eastAsia="Times New Roman" w:hAnsi="Times New Roman" w:cs="Times New Roman"/>
          <w:color w:val="FF0000"/>
          <w:sz w:val="24"/>
          <w:szCs w:val="24"/>
          <w:vertAlign w:val="superscript"/>
          <w:lang w:eastAsia="en-SG"/>
        </w:rPr>
        <w:t>[81]</w:t>
      </w:r>
      <w:r w:rsidRPr="005F5F47">
        <w:rPr>
          <w:rFonts w:ascii="Times New Roman" w:eastAsia="Times New Roman" w:hAnsi="Times New Roman" w:cs="Times New Roman"/>
          <w:sz w:val="24"/>
          <w:szCs w:val="24"/>
          <w:lang w:eastAsia="en-SG"/>
        </w:rPr>
        <w:t xml:space="preserve"> both use the DOE's letter dated 18 January 2016,</w:t>
      </w:r>
      <w:r w:rsidRPr="005F5F47">
        <w:rPr>
          <w:rFonts w:ascii="Times New Roman" w:eastAsia="Times New Roman" w:hAnsi="Times New Roman" w:cs="Times New Roman"/>
          <w:color w:val="FF0000"/>
          <w:sz w:val="24"/>
          <w:szCs w:val="24"/>
          <w:vertAlign w:val="superscript"/>
          <w:lang w:eastAsia="en-SG"/>
        </w:rPr>
        <w:t>[82]</w:t>
      </w:r>
      <w:r w:rsidRPr="005F5F47">
        <w:rPr>
          <w:rFonts w:ascii="Times New Roman" w:eastAsia="Times New Roman" w:hAnsi="Times New Roman" w:cs="Times New Roman"/>
          <w:sz w:val="24"/>
          <w:szCs w:val="24"/>
          <w:lang w:eastAsia="en-SG"/>
        </w:rPr>
        <w:t xml:space="preserve"> which requested the ERC to allow an electric cooperative (</w:t>
      </w:r>
      <w:proofErr w:type="spellStart"/>
      <w:r w:rsidRPr="005F5F47">
        <w:rPr>
          <w:rFonts w:ascii="Times New Roman" w:eastAsia="Times New Roman" w:hAnsi="Times New Roman" w:cs="Times New Roman"/>
          <w:sz w:val="24"/>
          <w:szCs w:val="24"/>
          <w:lang w:eastAsia="en-SG"/>
        </w:rPr>
        <w:t>Abra</w:t>
      </w:r>
      <w:proofErr w:type="spellEnd"/>
      <w:r w:rsidRPr="005F5F47">
        <w:rPr>
          <w:rFonts w:ascii="Times New Roman" w:eastAsia="Times New Roman" w:hAnsi="Times New Roman" w:cs="Times New Roman"/>
          <w:sz w:val="24"/>
          <w:szCs w:val="24"/>
          <w:lang w:eastAsia="en-SG"/>
        </w:rPr>
        <w:t xml:space="preserve"> Electric Cooperative, Inc. [ABRECO]) to directly negotiate with a power supplier despite the mandatory CSP, to justify the ERC's alleged power to amend the 2015 DOE Circular.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i/>
          <w:iCs/>
          <w:sz w:val="24"/>
          <w:szCs w:val="24"/>
          <w:lang w:eastAsia="en-SG"/>
        </w:rPr>
        <w:t>First</w:t>
      </w:r>
      <w:r w:rsidRPr="005F5F47">
        <w:rPr>
          <w:rFonts w:ascii="Times New Roman" w:eastAsia="Times New Roman" w:hAnsi="Times New Roman" w:cs="Times New Roman"/>
          <w:sz w:val="24"/>
          <w:szCs w:val="24"/>
          <w:lang w:eastAsia="en-SG"/>
        </w:rPr>
        <w:t>, Justice Reyes overlooks the direction of the exercise of power in this instance: instead of the ERC acting alone, the DOE directed the ERC to take action on the matter. This letter proves that the power to amend the 2015 DOE Circular belongs to the DOE, not to the ERC. There is clearly a necessity for the ERC to coordinate with the DOE with regard to CSP matters.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i/>
          <w:iCs/>
          <w:sz w:val="24"/>
          <w:szCs w:val="24"/>
          <w:lang w:eastAsia="en-SG"/>
        </w:rPr>
        <w:t>Second</w:t>
      </w:r>
      <w:r w:rsidRPr="005F5F47">
        <w:rPr>
          <w:rFonts w:ascii="Times New Roman" w:eastAsia="Times New Roman" w:hAnsi="Times New Roman" w:cs="Times New Roman"/>
          <w:sz w:val="24"/>
          <w:szCs w:val="24"/>
          <w:lang w:eastAsia="en-SG"/>
        </w:rPr>
        <w:t xml:space="preserve">, the DOE's endorsement to the ERC, as expressly stated in the DOE's letter dated 18 January 2016, "does not preclude the ERC from exercising its authority to evaluate ABRECO's PSAs and require further action, </w:t>
      </w:r>
      <w:r w:rsidRPr="005F5F47">
        <w:rPr>
          <w:rFonts w:ascii="Times New Roman" w:eastAsia="Times New Roman" w:hAnsi="Times New Roman" w:cs="Times New Roman"/>
          <w:b/>
          <w:bCs/>
          <w:sz w:val="24"/>
          <w:szCs w:val="24"/>
          <w:lang w:eastAsia="en-SG"/>
        </w:rPr>
        <w:t>such as subjecting ABRECO's PSA to a Swiss challenge</w:t>
      </w:r>
      <w:r w:rsidRPr="005F5F47">
        <w:rPr>
          <w:rFonts w:ascii="Times New Roman" w:eastAsia="Times New Roman" w:hAnsi="Times New Roman" w:cs="Times New Roman"/>
          <w:sz w:val="24"/>
          <w:szCs w:val="24"/>
          <w:lang w:eastAsia="en-SG"/>
        </w:rPr>
        <w:t>." A Swiss challenge is "a hybrid mechanism between the direct negotiation approach and the competitive bidding route."</w:t>
      </w:r>
      <w:r w:rsidRPr="005F5F47">
        <w:rPr>
          <w:rFonts w:ascii="Times New Roman" w:eastAsia="Times New Roman" w:hAnsi="Times New Roman" w:cs="Times New Roman"/>
          <w:color w:val="FF0000"/>
          <w:sz w:val="24"/>
          <w:szCs w:val="24"/>
          <w:vertAlign w:val="superscript"/>
          <w:lang w:eastAsia="en-SG"/>
        </w:rPr>
        <w:t>[83]</w:t>
      </w:r>
      <w:r w:rsidRPr="005F5F47">
        <w:rPr>
          <w:rFonts w:ascii="Times New Roman" w:eastAsia="Times New Roman" w:hAnsi="Times New Roman" w:cs="Times New Roman"/>
          <w:sz w:val="24"/>
          <w:szCs w:val="24"/>
          <w:lang w:eastAsia="en-SG"/>
        </w:rPr>
        <w:t xml:space="preserve"> It is a system where "[a] third party can bid on a project during a designated period but the original proponent can counter match any superior offer."</w:t>
      </w:r>
      <w:r w:rsidRPr="005F5F47">
        <w:rPr>
          <w:rFonts w:ascii="Times New Roman" w:eastAsia="Times New Roman" w:hAnsi="Times New Roman" w:cs="Times New Roman"/>
          <w:color w:val="FF0000"/>
          <w:sz w:val="24"/>
          <w:szCs w:val="24"/>
          <w:vertAlign w:val="superscript"/>
          <w:lang w:eastAsia="en-SG"/>
        </w:rPr>
        <w:t>[84]</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lang w:eastAsia="en-SG"/>
        </w:rPr>
        <w:t>In short, a Swiss challenge is a form of public bidding</w:t>
      </w:r>
      <w:r w:rsidRPr="005F5F47">
        <w:rPr>
          <w:rFonts w:ascii="Times New Roman" w:eastAsia="Times New Roman" w:hAnsi="Times New Roman" w:cs="Times New Roman"/>
          <w:sz w:val="24"/>
          <w:szCs w:val="24"/>
          <w:lang w:eastAsia="en-SG"/>
        </w:rPr>
        <w:t>, and is recognized in the implementing rules of laws such as Republic Act No. 6957, "An Act Authorizing the Financing, Construction, Operation and Maintenance of Infrastructure Projects by the Private Sector and for Other Purposes," as amended by Republic Act No. 7718,</w:t>
      </w:r>
      <w:r w:rsidRPr="005F5F47">
        <w:rPr>
          <w:rFonts w:ascii="Times New Roman" w:eastAsia="Times New Roman" w:hAnsi="Times New Roman" w:cs="Times New Roman"/>
          <w:color w:val="FF0000"/>
          <w:sz w:val="24"/>
          <w:szCs w:val="24"/>
          <w:vertAlign w:val="superscript"/>
          <w:lang w:eastAsia="en-SG"/>
        </w:rPr>
        <w:t>[85]</w:t>
      </w:r>
      <w:r w:rsidRPr="005F5F47">
        <w:rPr>
          <w:rFonts w:ascii="Times New Roman" w:eastAsia="Times New Roman" w:hAnsi="Times New Roman" w:cs="Times New Roman"/>
          <w:sz w:val="24"/>
          <w:szCs w:val="24"/>
          <w:lang w:eastAsia="en-SG"/>
        </w:rPr>
        <w:t xml:space="preserve"> and Executive Order No. 146,</w:t>
      </w:r>
      <w:r w:rsidRPr="005F5F47">
        <w:rPr>
          <w:rFonts w:ascii="Times New Roman" w:eastAsia="Times New Roman" w:hAnsi="Times New Roman" w:cs="Times New Roman"/>
          <w:color w:val="FF0000"/>
          <w:sz w:val="24"/>
          <w:szCs w:val="24"/>
          <w:vertAlign w:val="superscript"/>
          <w:lang w:eastAsia="en-SG"/>
        </w:rPr>
        <w:t>[86]</w:t>
      </w:r>
      <w:r w:rsidRPr="005F5F47">
        <w:rPr>
          <w:rFonts w:ascii="Times New Roman" w:eastAsia="Times New Roman" w:hAnsi="Times New Roman" w:cs="Times New Roman"/>
          <w:sz w:val="24"/>
          <w:szCs w:val="24"/>
          <w:lang w:eastAsia="en-SG"/>
        </w:rPr>
        <w:t xml:space="preserve"> "Delegating to the National Economic and Development Authority (NED A) Board the Power of the President to Approve Reclamation Projects."</w:t>
      </w:r>
      <w:r w:rsidRPr="005F5F47">
        <w:rPr>
          <w:rFonts w:ascii="Times New Roman" w:eastAsia="Times New Roman" w:hAnsi="Times New Roman" w:cs="Times New Roman"/>
          <w:color w:val="FF0000"/>
          <w:sz w:val="24"/>
          <w:szCs w:val="24"/>
          <w:vertAlign w:val="superscript"/>
          <w:lang w:eastAsia="en-SG"/>
        </w:rPr>
        <w:t>[87]</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i/>
          <w:iCs/>
          <w:sz w:val="24"/>
          <w:szCs w:val="24"/>
          <w:lang w:eastAsia="en-SG"/>
        </w:rPr>
        <w:t>Third</w:t>
      </w:r>
      <w:r w:rsidRPr="005F5F47">
        <w:rPr>
          <w:rFonts w:ascii="Times New Roman" w:eastAsia="Times New Roman" w:hAnsi="Times New Roman" w:cs="Times New Roman"/>
          <w:sz w:val="24"/>
          <w:szCs w:val="24"/>
          <w:lang w:eastAsia="en-SG"/>
        </w:rPr>
        <w:t>, even assuming that the DOE letter exempted one specific DU from CSP, it did not authorize ERC to postpone the effectivity of the mandatory CSP for 305 days for all other DUs nationwide.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i/>
          <w:iCs/>
          <w:sz w:val="24"/>
          <w:szCs w:val="24"/>
          <w:lang w:eastAsia="en-SG"/>
        </w:rPr>
        <w:t>Fourth</w:t>
      </w:r>
      <w:r w:rsidRPr="005F5F47">
        <w:rPr>
          <w:rFonts w:ascii="Times New Roman" w:eastAsia="Times New Roman" w:hAnsi="Times New Roman" w:cs="Times New Roman"/>
          <w:sz w:val="24"/>
          <w:szCs w:val="24"/>
          <w:lang w:eastAsia="en-SG"/>
        </w:rPr>
        <w:t>, the term of exemption for ABRECO was only for three years, or from 2016 to 2018. The PSAs executed during ERC's unilateral 305-day postponement had terms that range from 20 to 21 years.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In view of the DOE's explicit assertion that the ERC did not coordinate with the DOE regarding the issuance of the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 and the ERC's corresponding </w:t>
      </w:r>
      <w:r w:rsidRPr="005F5F47">
        <w:rPr>
          <w:rFonts w:ascii="Times New Roman" w:eastAsia="Times New Roman" w:hAnsi="Times New Roman" w:cs="Times New Roman"/>
          <w:sz w:val="24"/>
          <w:szCs w:val="24"/>
          <w:lang w:eastAsia="en-SG"/>
        </w:rPr>
        <w:lastRenderedPageBreak/>
        <w:t xml:space="preserve">silence on the same matter, we hold that the ERC's issuance of the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 is void, because it was issued with grave abuse of discretion and in excess of its rule-making authority.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i/>
          <w:iCs/>
          <w:sz w:val="24"/>
          <w:szCs w:val="24"/>
          <w:lang w:eastAsia="en-SG"/>
        </w:rPr>
        <w:t>Why the ERC Gravely Abused its Discretion: Effective Twenty-Year Freeze of the Mandatory CSP</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PSAs between </w:t>
      </w: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and its power suppliers were executed and submitted to the ERC within 10 days prior to the restated 30 April 2016 deadline. The data collated in the above-mentioned tables are, as indicated in the footnotes, found in the pleadings submitted by the pertinent parties. These are judicial admissions, and are not findings of fact. According to the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 these PSAs are not required to comply with CSP.</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Obviously, the rationale behind CSP - to ensure transparency in the purchase by DUs of bulk power supply so as to provide the consuming public affordable electricity rates - </w:t>
      </w:r>
      <w:r w:rsidRPr="005F5F47">
        <w:rPr>
          <w:rFonts w:ascii="Times New Roman" w:eastAsia="Times New Roman" w:hAnsi="Times New Roman" w:cs="Times New Roman"/>
          <w:b/>
          <w:bCs/>
          <w:sz w:val="24"/>
          <w:szCs w:val="24"/>
          <w:lang w:eastAsia="en-SG"/>
        </w:rPr>
        <w:t>acquires greater force and urgency when the DU or its parent company holds a significant equity interest in the bulk power supplier</w:t>
      </w:r>
      <w:r w:rsidRPr="005F5F47">
        <w:rPr>
          <w:rFonts w:ascii="Times New Roman" w:eastAsia="Times New Roman" w:hAnsi="Times New Roman" w:cs="Times New Roman"/>
          <w:sz w:val="24"/>
          <w:szCs w:val="24"/>
          <w:lang w:eastAsia="en-SG"/>
        </w:rPr>
        <w:t>. Such a parent-subsidiary relationship, or even a significant equity interest in the bulk power supplier, does not lend itself to fair and arms-length transactions between the DU and the bulk power supplier.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From </w:t>
      </w:r>
      <w:proofErr w:type="spellStart"/>
      <w:r w:rsidRPr="005F5F47">
        <w:rPr>
          <w:rFonts w:ascii="Times New Roman" w:eastAsia="Times New Roman" w:hAnsi="Times New Roman" w:cs="Times New Roman"/>
          <w:sz w:val="24"/>
          <w:szCs w:val="24"/>
          <w:lang w:eastAsia="en-SG"/>
        </w:rPr>
        <w:t>Meralco's</w:t>
      </w:r>
      <w:proofErr w:type="spellEnd"/>
      <w:r w:rsidRPr="005F5F47">
        <w:rPr>
          <w:rFonts w:ascii="Times New Roman" w:eastAsia="Times New Roman" w:hAnsi="Times New Roman" w:cs="Times New Roman"/>
          <w:sz w:val="24"/>
          <w:szCs w:val="24"/>
          <w:lang w:eastAsia="en-SG"/>
        </w:rPr>
        <w:t xml:space="preserve"> Comment, we see that the effect of the non-implementation of CSP is more widespread and far-reaching than what petitioners initially presented. </w:t>
      </w:r>
      <w:r w:rsidRPr="005F5F47">
        <w:rPr>
          <w:rFonts w:ascii="Times New Roman" w:eastAsia="Times New Roman" w:hAnsi="Times New Roman" w:cs="Times New Roman"/>
          <w:b/>
          <w:bCs/>
          <w:sz w:val="24"/>
          <w:szCs w:val="24"/>
          <w:lang w:eastAsia="en-SG"/>
        </w:rPr>
        <w:t xml:space="preserve">Non-implementation of CSP affects various areas of the country and not just </w:t>
      </w:r>
      <w:proofErr w:type="spellStart"/>
      <w:r w:rsidRPr="005F5F47">
        <w:rPr>
          <w:rFonts w:ascii="Times New Roman" w:eastAsia="Times New Roman" w:hAnsi="Times New Roman" w:cs="Times New Roman"/>
          <w:b/>
          <w:bCs/>
          <w:sz w:val="24"/>
          <w:szCs w:val="24"/>
          <w:lang w:eastAsia="en-SG"/>
        </w:rPr>
        <w:t>Meralco's</w:t>
      </w:r>
      <w:proofErr w:type="spellEnd"/>
      <w:r w:rsidRPr="005F5F47">
        <w:rPr>
          <w:rFonts w:ascii="Times New Roman" w:eastAsia="Times New Roman" w:hAnsi="Times New Roman" w:cs="Times New Roman"/>
          <w:b/>
          <w:bCs/>
          <w:sz w:val="24"/>
          <w:szCs w:val="24"/>
          <w:lang w:eastAsia="en-SG"/>
        </w:rPr>
        <w:t xml:space="preserve"> extensive service areas. Postponement of the effectivity of the mandatory CSP resulted in the exemption from CSP of a total of ninety (90) PSAs covering various areas of the country.</w:t>
      </w:r>
      <w:r w:rsidRPr="005F5F47">
        <w:rPr>
          <w:rFonts w:ascii="Times New Roman" w:eastAsia="Times New Roman" w:hAnsi="Times New Roman" w:cs="Times New Roman"/>
          <w:sz w:val="24"/>
          <w:szCs w:val="24"/>
          <w:lang w:eastAsia="en-SG"/>
        </w:rPr>
        <w:t xml:space="preserve"> Under the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 the dates of submission put these PSAs outside the ambit of the mandatory CSP for </w:t>
      </w:r>
      <w:r w:rsidRPr="005F5F47">
        <w:rPr>
          <w:rFonts w:ascii="Times New Roman" w:eastAsia="Times New Roman" w:hAnsi="Times New Roman" w:cs="Times New Roman"/>
          <w:b/>
          <w:bCs/>
          <w:sz w:val="24"/>
          <w:szCs w:val="24"/>
          <w:lang w:eastAsia="en-SG"/>
        </w:rPr>
        <w:t>at least 20 years</w:t>
      </w:r>
      <w:r w:rsidRPr="005F5F47">
        <w:rPr>
          <w:rFonts w:ascii="Times New Roman" w:eastAsia="Times New Roman" w:hAnsi="Times New Roman" w:cs="Times New Roman"/>
          <w:sz w:val="24"/>
          <w:szCs w:val="24"/>
          <w:lang w:eastAsia="en-SG"/>
        </w:rPr>
        <w:t xml:space="preserve"> based on the contract terms of these PSAs.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In effect, the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 </w:t>
      </w:r>
      <w:proofErr w:type="spellStart"/>
      <w:r w:rsidRPr="005F5F47">
        <w:rPr>
          <w:rFonts w:ascii="Times New Roman" w:eastAsia="Times New Roman" w:hAnsi="Times New Roman" w:cs="Times New Roman"/>
          <w:sz w:val="24"/>
          <w:szCs w:val="24"/>
          <w:lang w:eastAsia="en-SG"/>
        </w:rPr>
        <w:t>signaled</w:t>
      </w:r>
      <w:proofErr w:type="spellEnd"/>
      <w:r w:rsidRPr="005F5F47">
        <w:rPr>
          <w:rFonts w:ascii="Times New Roman" w:eastAsia="Times New Roman" w:hAnsi="Times New Roman" w:cs="Times New Roman"/>
          <w:sz w:val="24"/>
          <w:szCs w:val="24"/>
          <w:lang w:eastAsia="en-SG"/>
        </w:rPr>
        <w:t xml:space="preserve"> to DUs to rush the negotiations and finalize their PSAs with power generation companies. </w:t>
      </w:r>
      <w:r w:rsidRPr="005F5F47">
        <w:rPr>
          <w:rFonts w:ascii="Times New Roman" w:eastAsia="Times New Roman" w:hAnsi="Times New Roman" w:cs="Times New Roman"/>
          <w:b/>
          <w:bCs/>
          <w:sz w:val="24"/>
          <w:szCs w:val="24"/>
          <w:lang w:eastAsia="en-SG"/>
        </w:rPr>
        <w:t xml:space="preserve">Meeting the extended deadline would then render the 2015 DOE Circular mandating CSP </w:t>
      </w:r>
      <w:r w:rsidRPr="005F5F47">
        <w:rPr>
          <w:rFonts w:ascii="Times New Roman" w:eastAsia="Times New Roman" w:hAnsi="Times New Roman" w:cs="Times New Roman"/>
          <w:b/>
          <w:bCs/>
          <w:i/>
          <w:iCs/>
          <w:sz w:val="24"/>
          <w:szCs w:val="24"/>
          <w:lang w:eastAsia="en-SG"/>
        </w:rPr>
        <w:t>inutile</w:t>
      </w:r>
      <w:r w:rsidRPr="005F5F47">
        <w:rPr>
          <w:rFonts w:ascii="Times New Roman" w:eastAsia="Times New Roman" w:hAnsi="Times New Roman" w:cs="Times New Roman"/>
          <w:b/>
          <w:bCs/>
          <w:sz w:val="24"/>
          <w:szCs w:val="24"/>
          <w:lang w:eastAsia="en-SG"/>
        </w:rPr>
        <w:t xml:space="preserve"> for at least 20 years. We cannot, in conscience, allow this to happen. To validate the ERC's postponement of CSP under the CSP Guidelines and the ERC </w:t>
      </w:r>
      <w:proofErr w:type="spellStart"/>
      <w:r w:rsidRPr="005F5F47">
        <w:rPr>
          <w:rFonts w:ascii="Times New Roman" w:eastAsia="Times New Roman" w:hAnsi="Times New Roman" w:cs="Times New Roman"/>
          <w:b/>
          <w:bCs/>
          <w:sz w:val="24"/>
          <w:szCs w:val="24"/>
          <w:lang w:eastAsia="en-SG"/>
        </w:rPr>
        <w:t>Clarificatory</w:t>
      </w:r>
      <w:proofErr w:type="spellEnd"/>
      <w:r w:rsidRPr="005F5F47">
        <w:rPr>
          <w:rFonts w:ascii="Times New Roman" w:eastAsia="Times New Roman" w:hAnsi="Times New Roman" w:cs="Times New Roman"/>
          <w:b/>
          <w:bCs/>
          <w:sz w:val="24"/>
          <w:szCs w:val="24"/>
          <w:lang w:eastAsia="en-SG"/>
        </w:rPr>
        <w:t xml:space="preserve"> Resolution means to validate ERC's arbitrary and unauthorized act of putting into deep freeze, for at least 20 years, the principles behind CSP to the great prejudice of the public.</w:t>
      </w:r>
      <w:r w:rsidRPr="005F5F47">
        <w:rPr>
          <w:rFonts w:ascii="Times New Roman" w:eastAsia="Times New Roman" w:hAnsi="Times New Roman" w:cs="Times New Roman"/>
          <w:color w:val="FF0000"/>
          <w:sz w:val="24"/>
          <w:szCs w:val="24"/>
          <w:vertAlign w:val="superscript"/>
          <w:lang w:eastAsia="en-SG"/>
        </w:rPr>
        <w:t>[88]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i/>
          <w:iCs/>
          <w:sz w:val="24"/>
          <w:szCs w:val="24"/>
          <w:lang w:eastAsia="en-SG"/>
        </w:rPr>
        <w:t xml:space="preserve">Why the ERC Gravely Abused its Discretion: The Whereas Clauses of the CSP Guidelines and of the ERC </w:t>
      </w:r>
      <w:proofErr w:type="spellStart"/>
      <w:r w:rsidRPr="005F5F47">
        <w:rPr>
          <w:rFonts w:ascii="Times New Roman" w:eastAsia="Times New Roman" w:hAnsi="Times New Roman" w:cs="Times New Roman"/>
          <w:i/>
          <w:iCs/>
          <w:sz w:val="24"/>
          <w:szCs w:val="24"/>
          <w:lang w:eastAsia="en-SG"/>
        </w:rPr>
        <w:t>Clarificatory</w:t>
      </w:r>
      <w:proofErr w:type="spellEnd"/>
      <w:r w:rsidRPr="005F5F47">
        <w:rPr>
          <w:rFonts w:ascii="Times New Roman" w:eastAsia="Times New Roman" w:hAnsi="Times New Roman" w:cs="Times New Roman"/>
          <w:i/>
          <w:iCs/>
          <w:sz w:val="24"/>
          <w:szCs w:val="24"/>
          <w:lang w:eastAsia="en-SG"/>
        </w:rPr>
        <w:t xml:space="preserve"> Resolution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ERC's Comment states: "It must be emphasized that the considerable amount of time, money, and effort it took to enter into a PSA would have been wasted if the CSP [Guidelines] took effect immediately."</w:t>
      </w:r>
      <w:r w:rsidRPr="005F5F47">
        <w:rPr>
          <w:rFonts w:ascii="Times New Roman" w:eastAsia="Times New Roman" w:hAnsi="Times New Roman" w:cs="Times New Roman"/>
          <w:color w:val="FF0000"/>
          <w:sz w:val="24"/>
          <w:szCs w:val="24"/>
          <w:vertAlign w:val="superscript"/>
          <w:lang w:eastAsia="en-SG"/>
        </w:rPr>
        <w:t>[89]</w:t>
      </w:r>
      <w:r w:rsidRPr="005F5F47">
        <w:rPr>
          <w:rFonts w:ascii="Times New Roman" w:eastAsia="Times New Roman" w:hAnsi="Times New Roman" w:cs="Times New Roman"/>
          <w:sz w:val="24"/>
          <w:szCs w:val="24"/>
          <w:lang w:eastAsia="en-SG"/>
        </w:rPr>
        <w:t xml:space="preserve"> Granting that negotiations for the PSAs took considerable time, the issuance of the 2015 DOE Circular and of the CSP Guidelines was not conjured on a whim. We find that ERC's Comment fails to consider the efforts of both the DOE and the ERC prior to the issuance of the 2015 DOE Circular as well as the CSP Guidelines.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As early as 5 December 2003, the DOE issued Department Circular No. 2003-12-011, entitled "Enjoining All Distribution Utilities to Supply Adequate, Affordable, Quality and Reliable Electricity," which reiterated the state policy that "all DUs must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take cognizance and assume full responsibility to forecast, assure and contract for the supply of </w:t>
      </w:r>
      <w:r w:rsidRPr="005F5F47">
        <w:rPr>
          <w:rFonts w:ascii="Times New Roman" w:eastAsia="Times New Roman" w:hAnsi="Times New Roman" w:cs="Times New Roman"/>
          <w:sz w:val="24"/>
          <w:szCs w:val="24"/>
          <w:lang w:eastAsia="en-SG"/>
        </w:rPr>
        <w:lastRenderedPageBreak/>
        <w:t>electric power within their respective franchise areas to meet their obligations as a DU particularly to their Captive Market."</w:t>
      </w:r>
      <w:r w:rsidRPr="005F5F47">
        <w:rPr>
          <w:rFonts w:ascii="Times New Roman" w:eastAsia="Times New Roman" w:hAnsi="Times New Roman" w:cs="Times New Roman"/>
          <w:color w:val="FF0000"/>
          <w:sz w:val="24"/>
          <w:szCs w:val="24"/>
          <w:vertAlign w:val="superscript"/>
          <w:lang w:eastAsia="en-SG"/>
        </w:rPr>
        <w:t>[90]</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lang w:eastAsia="en-SG"/>
        </w:rPr>
        <w:t>Moreover, the DOE had conducted a series of nationwide public consultations on the proposed policy on competitive procurement of electric power for all electricity end-users</w:t>
      </w:r>
      <w:proofErr w:type="gramStart"/>
      <w:r w:rsidRPr="005F5F47">
        <w:rPr>
          <w:rFonts w:ascii="Times New Roman" w:eastAsia="Times New Roman" w:hAnsi="Times New Roman" w:cs="Times New Roman"/>
          <w:b/>
          <w:bCs/>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91]</w:t>
      </w:r>
      <w:r w:rsidRPr="005F5F47">
        <w:rPr>
          <w:rFonts w:ascii="Times New Roman" w:eastAsia="Times New Roman" w:hAnsi="Times New Roman" w:cs="Times New Roman"/>
          <w:sz w:val="24"/>
          <w:szCs w:val="24"/>
          <w:lang w:eastAsia="en-SG"/>
        </w:rPr>
        <w:t xml:space="preserve"> The dates and manner of consultations, as well as the acts of the DOE and the ERC, were specifically mentioned in the Whereas Clauses of the CSP Guidelines, thus: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WHEREAS, on February 19, 2013, the ERC issued a Notice in ERC Case No. 2013-005 RM, entitled "In the Matter of the Promulgation of the Rules Governing the Execution, Review and Evaluation of Power Supply Agreements Entered Into by Distribution Utilities for the Supply of Electricity to their Captive Market" (PSA Rules), which was posted on the ERC's website, directing all interested parties to submit their respective comments on the first draft of the PSA Rules, not later than March 22, 2013;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WHEREAS, on various dates, the ERC received comments on the first draft of the PSA Rules from interested parties, namely: a) Cagayan Electric Power and Light Co., Inc. (CEPALCO); b) Visayan Electric Company, Inc. (VECO); c) Quezon Power (Philippines) Ltd. Co. (QPL); d) Power Source Philippines, Inc. (PSPI); e) National Grid Corporation of the Philippines (NGCP); f) Philippine Independent Power Producers Association, Inc. (PIPPA); g) Next Power Consortium, Inc.; h) SN Aboitiz Power Group (SNAP); </w:t>
      </w:r>
      <w:proofErr w:type="spellStart"/>
      <w:r w:rsidRPr="005F5F47">
        <w:rPr>
          <w:rFonts w:ascii="Times New Roman" w:eastAsia="Times New Roman" w:hAnsi="Times New Roman" w:cs="Times New Roman"/>
          <w:sz w:val="24"/>
          <w:szCs w:val="24"/>
          <w:lang w:eastAsia="en-SG"/>
        </w:rPr>
        <w:t>i</w:t>
      </w:r>
      <w:proofErr w:type="spellEnd"/>
      <w:r w:rsidRPr="005F5F47">
        <w:rPr>
          <w:rFonts w:ascii="Times New Roman" w:eastAsia="Times New Roman" w:hAnsi="Times New Roman" w:cs="Times New Roman"/>
          <w:sz w:val="24"/>
          <w:szCs w:val="24"/>
          <w:lang w:eastAsia="en-SG"/>
        </w:rPr>
        <w:t>) Aboitiz Power Corporation (APC); j) Philippine Electricity Market Corporation (PEMC); k) Manila Electric Company (MERALCO); 1) Department of Energy (DOE); m) Philippine Rural Electric Cooperatives Associations, Inc. (PHILRECA); and n) National Rural Electric Cooperative Association (NRECA);</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WHEREAS, on October 16, 2013, the ERC issued a Notice of Posting and Publication in the aforementioned case, which was posted on the ERC's website, directing all interested parties to submit their respective comments on the second draft of the PSA Rules and setting the same for public consultations on December 2, 2013 in Pasig City for the Luzon stakeholders and on December 5, 2013 in Cebu City for the </w:t>
      </w:r>
      <w:proofErr w:type="spellStart"/>
      <w:r w:rsidRPr="005F5F47">
        <w:rPr>
          <w:rFonts w:ascii="Times New Roman" w:eastAsia="Times New Roman" w:hAnsi="Times New Roman" w:cs="Times New Roman"/>
          <w:sz w:val="24"/>
          <w:szCs w:val="24"/>
          <w:lang w:eastAsia="en-SG"/>
        </w:rPr>
        <w:t>Visayas</w:t>
      </w:r>
      <w:proofErr w:type="spellEnd"/>
      <w:r w:rsidRPr="005F5F47">
        <w:rPr>
          <w:rFonts w:ascii="Times New Roman" w:eastAsia="Times New Roman" w:hAnsi="Times New Roman" w:cs="Times New Roman"/>
          <w:sz w:val="24"/>
          <w:szCs w:val="24"/>
          <w:lang w:eastAsia="en-SG"/>
        </w:rPr>
        <w:t xml:space="preserve"> and Mindanao stakeholders;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WHEREAS, on various dates, the ERC received comments on the second draft of the PSA Rules from interested parties, namely: a) PHILRECA; b) CEPALCO; c) VECO; d) QPL; e) PSPI; f) NGCP; g) PIPPA; h) Next Power Consortium, Inc.; </w:t>
      </w:r>
      <w:proofErr w:type="spellStart"/>
      <w:r w:rsidRPr="005F5F47">
        <w:rPr>
          <w:rFonts w:ascii="Times New Roman" w:eastAsia="Times New Roman" w:hAnsi="Times New Roman" w:cs="Times New Roman"/>
          <w:sz w:val="24"/>
          <w:szCs w:val="24"/>
          <w:lang w:eastAsia="en-SG"/>
        </w:rPr>
        <w:t>i</w:t>
      </w:r>
      <w:proofErr w:type="spellEnd"/>
      <w:r w:rsidRPr="005F5F47">
        <w:rPr>
          <w:rFonts w:ascii="Times New Roman" w:eastAsia="Times New Roman" w:hAnsi="Times New Roman" w:cs="Times New Roman"/>
          <w:sz w:val="24"/>
          <w:szCs w:val="24"/>
          <w:lang w:eastAsia="en-SG"/>
        </w:rPr>
        <w:t>) SNAP; j) APC; k) PEMC; l) MERALCO; m) DOE; and n) NRECA;</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WHEREAS, on January 27, 2014, the ERC issued a Notice of Posting and Public Consultation setting the second draft of the PSA Rules for public consultations on February 18, 20 and 24, 2014 in Davao City, Cebu City and Pasig City for the Mindanao, </w:t>
      </w:r>
      <w:proofErr w:type="spellStart"/>
      <w:r w:rsidRPr="005F5F47">
        <w:rPr>
          <w:rFonts w:ascii="Times New Roman" w:eastAsia="Times New Roman" w:hAnsi="Times New Roman" w:cs="Times New Roman"/>
          <w:sz w:val="24"/>
          <w:szCs w:val="24"/>
          <w:lang w:eastAsia="en-SG"/>
        </w:rPr>
        <w:t>Visayas</w:t>
      </w:r>
      <w:proofErr w:type="spellEnd"/>
      <w:r w:rsidRPr="005F5F47">
        <w:rPr>
          <w:rFonts w:ascii="Times New Roman" w:eastAsia="Times New Roman" w:hAnsi="Times New Roman" w:cs="Times New Roman"/>
          <w:sz w:val="24"/>
          <w:szCs w:val="24"/>
          <w:lang w:eastAsia="en-SG"/>
        </w:rPr>
        <w:t xml:space="preserve"> and Luzon stakeholders, respectively;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WHEREAS, on February 18, 20 and 24, 2014, the ERC conducted public consultations wherein the comments of the interested partied were discussed;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WHEREAS, the ERC, likewise, conducted Focus Group Discussions (FGDs) with the stakeholders on April 22 to 24, 2014 in Pasig City, May 6 to 8, 2014 in Cebu City, May 13 to 14, 2014 in Cagayan De Oro City and May 20 to 22, 2014 in Pasig City, to thoroughly discuss major issues in relation to the draft PSA Rules, such as: a) </w:t>
      </w:r>
      <w:r w:rsidRPr="005F5F47">
        <w:rPr>
          <w:rFonts w:ascii="Times New Roman" w:eastAsia="Times New Roman" w:hAnsi="Times New Roman" w:cs="Times New Roman"/>
          <w:b/>
          <w:bCs/>
          <w:sz w:val="24"/>
          <w:szCs w:val="24"/>
          <w:lang w:eastAsia="en-SG"/>
        </w:rPr>
        <w:t>the requirement of Competitive Selection Process (CSP)</w:t>
      </w:r>
      <w:r w:rsidRPr="005F5F47">
        <w:rPr>
          <w:rFonts w:ascii="Times New Roman" w:eastAsia="Times New Roman" w:hAnsi="Times New Roman" w:cs="Times New Roman"/>
          <w:sz w:val="24"/>
          <w:szCs w:val="24"/>
          <w:lang w:eastAsia="en-SG"/>
        </w:rPr>
        <w:t xml:space="preserve">; b) the proposed PSA template; c) the joint filing of </w:t>
      </w:r>
      <w:r w:rsidRPr="005F5F47">
        <w:rPr>
          <w:rFonts w:ascii="Times New Roman" w:eastAsia="Times New Roman" w:hAnsi="Times New Roman" w:cs="Times New Roman"/>
          <w:sz w:val="24"/>
          <w:szCs w:val="24"/>
          <w:lang w:eastAsia="en-SG"/>
        </w:rPr>
        <w:lastRenderedPageBreak/>
        <w:t>PSA applications by the DUs and generation companies (</w:t>
      </w:r>
      <w:proofErr w:type="spellStart"/>
      <w:r w:rsidRPr="005F5F47">
        <w:rPr>
          <w:rFonts w:ascii="Times New Roman" w:eastAsia="Times New Roman" w:hAnsi="Times New Roman" w:cs="Times New Roman"/>
          <w:sz w:val="24"/>
          <w:szCs w:val="24"/>
          <w:lang w:eastAsia="en-SG"/>
        </w:rPr>
        <w:t>GenCos</w:t>
      </w:r>
      <w:proofErr w:type="spellEnd"/>
      <w:r w:rsidRPr="005F5F47">
        <w:rPr>
          <w:rFonts w:ascii="Times New Roman" w:eastAsia="Times New Roman" w:hAnsi="Times New Roman" w:cs="Times New Roman"/>
          <w:sz w:val="24"/>
          <w:szCs w:val="24"/>
          <w:lang w:eastAsia="en-SG"/>
        </w:rPr>
        <w:t>); and d) the "walk-away" provision in the PSA, and the ERC likewise set the deadline for the submission of additional comments or position papers for May 30, 2014;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WHEREAS, on various dates, the ERC received position papers/additional comments from interested parties, namely: a) PIPPA; b) APC; c) Mindanao Coalition of Power Consumers; and d) Association of Mindanao Rural Electric Cooperatives, Inc. (AMRECO);</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WHEREAS, Article III of the draft PSA Rules requires the DU to undertake a transparent and competitive selection process before contracting for the supply of electricity to its captive market</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WHEREAS</w:t>
      </w:r>
      <w:r w:rsidRPr="005F5F47">
        <w:rPr>
          <w:rFonts w:ascii="Times New Roman" w:eastAsia="Times New Roman" w:hAnsi="Times New Roman" w:cs="Times New Roman"/>
          <w:sz w:val="24"/>
          <w:szCs w:val="24"/>
          <w:lang w:eastAsia="en-SG"/>
        </w:rPr>
        <w:t xml:space="preserve">, in October 2014, </w:t>
      </w:r>
      <w:r w:rsidRPr="005F5F47">
        <w:rPr>
          <w:rFonts w:ascii="Times New Roman" w:eastAsia="Times New Roman" w:hAnsi="Times New Roman" w:cs="Times New Roman"/>
          <w:b/>
          <w:bCs/>
          <w:sz w:val="24"/>
          <w:szCs w:val="24"/>
          <w:lang w:eastAsia="en-SG"/>
        </w:rPr>
        <w:t>the DOE issued for comments its draft Circular on the proposed Demand Aggregation and Supply Auctioning Policy (DASAP)</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 xml:space="preserve">WHEREAS, in the proposed DASAP, all DUS will be mandated to comply with the </w:t>
      </w:r>
      <w:r w:rsidRPr="005F5F47">
        <w:rPr>
          <w:rFonts w:ascii="Times New Roman" w:eastAsia="Times New Roman" w:hAnsi="Times New Roman" w:cs="Times New Roman"/>
          <w:b/>
          <w:bCs/>
          <w:i/>
          <w:iCs/>
          <w:sz w:val="24"/>
          <w:szCs w:val="24"/>
          <w:lang w:eastAsia="en-SG"/>
        </w:rPr>
        <w:t>auction requirement</w:t>
      </w:r>
      <w:r w:rsidRPr="005F5F47">
        <w:rPr>
          <w:rFonts w:ascii="Times New Roman" w:eastAsia="Times New Roman" w:hAnsi="Times New Roman" w:cs="Times New Roman"/>
          <w:b/>
          <w:bCs/>
          <w:sz w:val="24"/>
          <w:szCs w:val="24"/>
          <w:lang w:eastAsia="en-SG"/>
        </w:rPr>
        <w:t xml:space="preserve"> prescribed therein and other rules and guidelines as may be prescribed in the implementation of the DASAP</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WHEREAS, by reason of the issuance of the DASAP and pending the finalization thereof, the ERC held in abeyance its action on ERC Case No. 2013-005 RM and final approval of the draft PSA Rules;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WHEREAS</w:t>
      </w:r>
      <w:r w:rsidRPr="005F5F47">
        <w:rPr>
          <w:rFonts w:ascii="Times New Roman" w:eastAsia="Times New Roman" w:hAnsi="Times New Roman" w:cs="Times New Roman"/>
          <w:sz w:val="24"/>
          <w:szCs w:val="24"/>
          <w:lang w:eastAsia="en-SG"/>
        </w:rPr>
        <w:t xml:space="preserve">, on June 11, 2015, </w:t>
      </w:r>
      <w:r w:rsidRPr="005F5F47">
        <w:rPr>
          <w:rFonts w:ascii="Times New Roman" w:eastAsia="Times New Roman" w:hAnsi="Times New Roman" w:cs="Times New Roman"/>
          <w:b/>
          <w:bCs/>
          <w:sz w:val="24"/>
          <w:szCs w:val="24"/>
          <w:lang w:eastAsia="en-SG"/>
        </w:rPr>
        <w:t xml:space="preserve">the Department of Energy (DOE) issued Department Circular No. DC2015-06-008, </w:t>
      </w:r>
      <w:r w:rsidRPr="005F5F47">
        <w:rPr>
          <w:rFonts w:ascii="Times New Roman" w:eastAsia="Times New Roman" w:hAnsi="Times New Roman" w:cs="Times New Roman"/>
          <w:b/>
          <w:bCs/>
          <w:i/>
          <w:iCs/>
          <w:sz w:val="24"/>
          <w:szCs w:val="24"/>
          <w:lang w:eastAsia="en-SG"/>
        </w:rPr>
        <w:t>Mandating All Distribution Utilities to Undergo Competitive Selection Process (CSP) in Securing Power Supply Agreements (PSA)</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WHEREAS</w:t>
      </w:r>
      <w:r w:rsidRPr="005F5F47">
        <w:rPr>
          <w:rFonts w:ascii="Times New Roman" w:eastAsia="Times New Roman" w:hAnsi="Times New Roman" w:cs="Times New Roman"/>
          <w:sz w:val="24"/>
          <w:szCs w:val="24"/>
          <w:lang w:eastAsia="en-SG"/>
        </w:rPr>
        <w:t xml:space="preserve">, on October 20, 2015, </w:t>
      </w:r>
      <w:r w:rsidRPr="005F5F47">
        <w:rPr>
          <w:rFonts w:ascii="Times New Roman" w:eastAsia="Times New Roman" w:hAnsi="Times New Roman" w:cs="Times New Roman"/>
          <w:b/>
          <w:bCs/>
          <w:sz w:val="24"/>
          <w:szCs w:val="24"/>
          <w:lang w:eastAsia="en-SG"/>
        </w:rPr>
        <w:t>the DOE and the ERC approved the issuance of a Joint Resolution embodying their agreement on the CSP</w:t>
      </w:r>
      <w:r w:rsidRPr="005F5F47">
        <w:rPr>
          <w:rFonts w:ascii="Times New Roman" w:eastAsia="Times New Roman" w:hAnsi="Times New Roman" w:cs="Times New Roman"/>
          <w:sz w:val="24"/>
          <w:szCs w:val="24"/>
          <w:lang w:eastAsia="en-SG"/>
        </w:rPr>
        <w:t xml:space="preserve">, particularly, </w:t>
      </w:r>
      <w:r w:rsidRPr="005F5F47">
        <w:rPr>
          <w:rFonts w:ascii="Times New Roman" w:eastAsia="Times New Roman" w:hAnsi="Times New Roman" w:cs="Times New Roman"/>
          <w:b/>
          <w:bCs/>
          <w:sz w:val="24"/>
          <w:szCs w:val="24"/>
          <w:lang w:eastAsia="en-SG"/>
        </w:rPr>
        <w:t>that the ERC shall issue the appropriate regulations requiring the DUs to undertake a CSP for the PSAs they will enter into for the supply to their captive markets</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WHEREAS, the ERC and the DOE are convinced that there is an advantage to be gained by having a CSP in place, in terms of ensuring transparency in the DUs' supply procurement and providing opportunities to elicit the best price offers and other PSA terms and conditions from suppliers[.]</w:t>
      </w:r>
      <w:r w:rsidRPr="005F5F47">
        <w:rPr>
          <w:rFonts w:ascii="Times New Roman" w:eastAsia="Times New Roman" w:hAnsi="Times New Roman" w:cs="Times New Roman"/>
          <w:color w:val="FF0000"/>
          <w:sz w:val="24"/>
          <w:szCs w:val="24"/>
          <w:vertAlign w:val="superscript"/>
          <w:lang w:eastAsia="en-SG"/>
        </w:rPr>
        <w:t>[92]</w:t>
      </w:r>
      <w:r w:rsidRPr="005F5F47">
        <w:rPr>
          <w:rFonts w:ascii="Times New Roman" w:eastAsia="Times New Roman" w:hAnsi="Times New Roman" w:cs="Times New Roman"/>
          <w:sz w:val="24"/>
          <w:szCs w:val="24"/>
          <w:lang w:eastAsia="en-SG"/>
        </w:rPr>
        <w:t xml:space="preserve"> (Boldfacing and italicization added)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 xml:space="preserve">In stark contrast to the extensive consensus-building which attended the drafting of the 2015 DOE Circular and the CSP Guidelines, the ERC </w:t>
      </w:r>
      <w:proofErr w:type="spellStart"/>
      <w:r w:rsidRPr="005F5F47">
        <w:rPr>
          <w:rFonts w:ascii="Times New Roman" w:eastAsia="Times New Roman" w:hAnsi="Times New Roman" w:cs="Times New Roman"/>
          <w:b/>
          <w:bCs/>
          <w:sz w:val="24"/>
          <w:szCs w:val="24"/>
          <w:lang w:eastAsia="en-SG"/>
        </w:rPr>
        <w:t>Clarificatory</w:t>
      </w:r>
      <w:proofErr w:type="spellEnd"/>
      <w:r w:rsidRPr="005F5F47">
        <w:rPr>
          <w:rFonts w:ascii="Times New Roman" w:eastAsia="Times New Roman" w:hAnsi="Times New Roman" w:cs="Times New Roman"/>
          <w:b/>
          <w:bCs/>
          <w:sz w:val="24"/>
          <w:szCs w:val="24"/>
          <w:lang w:eastAsia="en-SG"/>
        </w:rPr>
        <w:t xml:space="preserve"> Resolution explicitly admitted that its issuance was </w:t>
      </w:r>
      <w:r w:rsidRPr="005F5F47">
        <w:rPr>
          <w:rFonts w:ascii="Times New Roman" w:eastAsia="Times New Roman" w:hAnsi="Times New Roman" w:cs="Times New Roman"/>
          <w:b/>
          <w:bCs/>
          <w:i/>
          <w:iCs/>
          <w:sz w:val="24"/>
          <w:szCs w:val="24"/>
          <w:lang w:eastAsia="en-SG"/>
        </w:rPr>
        <w:t>not</w:t>
      </w:r>
      <w:r w:rsidRPr="005F5F47">
        <w:rPr>
          <w:rFonts w:ascii="Times New Roman" w:eastAsia="Times New Roman" w:hAnsi="Times New Roman" w:cs="Times New Roman"/>
          <w:b/>
          <w:bCs/>
          <w:sz w:val="24"/>
          <w:szCs w:val="24"/>
          <w:lang w:eastAsia="en-SG"/>
        </w:rPr>
        <w:t xml:space="preserve"> accompanied by any public consultation or focus group discussion. Rather, the ERC </w:t>
      </w:r>
      <w:proofErr w:type="spellStart"/>
      <w:r w:rsidRPr="005F5F47">
        <w:rPr>
          <w:rFonts w:ascii="Times New Roman" w:eastAsia="Times New Roman" w:hAnsi="Times New Roman" w:cs="Times New Roman"/>
          <w:b/>
          <w:bCs/>
          <w:sz w:val="24"/>
          <w:szCs w:val="24"/>
          <w:lang w:eastAsia="en-SG"/>
        </w:rPr>
        <w:t>Clarificatory</w:t>
      </w:r>
      <w:proofErr w:type="spellEnd"/>
      <w:r w:rsidRPr="005F5F47">
        <w:rPr>
          <w:rFonts w:ascii="Times New Roman" w:eastAsia="Times New Roman" w:hAnsi="Times New Roman" w:cs="Times New Roman"/>
          <w:b/>
          <w:bCs/>
          <w:sz w:val="24"/>
          <w:szCs w:val="24"/>
          <w:lang w:eastAsia="en-SG"/>
        </w:rPr>
        <w:t xml:space="preserve"> Resolution was unilaterally issued by the ERC, </w:t>
      </w:r>
      <w:r w:rsidRPr="005F5F47">
        <w:rPr>
          <w:rFonts w:ascii="Times New Roman" w:eastAsia="Times New Roman" w:hAnsi="Times New Roman" w:cs="Times New Roman"/>
          <w:b/>
          <w:bCs/>
          <w:i/>
          <w:iCs/>
          <w:sz w:val="24"/>
          <w:szCs w:val="24"/>
          <w:lang w:eastAsia="en-SG"/>
        </w:rPr>
        <w:t>without coordinating with DOE</w:t>
      </w:r>
      <w:r w:rsidRPr="005F5F47">
        <w:rPr>
          <w:rFonts w:ascii="Times New Roman" w:eastAsia="Times New Roman" w:hAnsi="Times New Roman" w:cs="Times New Roman"/>
          <w:b/>
          <w:bCs/>
          <w:sz w:val="24"/>
          <w:szCs w:val="24"/>
          <w:lang w:eastAsia="en-SG"/>
        </w:rPr>
        <w:t>, on the basis of "several letters from stakeholders."</w:t>
      </w:r>
      <w:r w:rsidRPr="005F5F47">
        <w:rPr>
          <w:rFonts w:ascii="Times New Roman" w:eastAsia="Times New Roman" w:hAnsi="Times New Roman" w:cs="Times New Roman"/>
          <w:sz w:val="24"/>
          <w:szCs w:val="24"/>
          <w:lang w:eastAsia="en-SG"/>
        </w:rPr>
        <w:t xml:space="preserve"> The stakeholders had no way of knowing the concerns of their peers as there was no interaction or discussion among the stakeholders.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WHEREAS, since the publication of the CSP [Guidelines] on 06 November 2015, the [ERC] has received several letters from stakeholders which raised issues on the constitutionality of the effectivity of the CSP [Guidelines], sought clarification on the implementation of the CSP and its applicability to the renewal and extension of PSAs, requested a determination of the accepted forms of CSP, and submitted grounds for exemption from its applicability, among others.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lastRenderedPageBreak/>
        <w:t xml:space="preserve">WHEREAS, after judicious study and due consideration of the different perspectives raised in the aforementioned letters, with the end in view of ensuring the successful implementation of the CSP for the benefit of consumers, DUs, and </w:t>
      </w:r>
      <w:proofErr w:type="spellStart"/>
      <w:r w:rsidRPr="005F5F47">
        <w:rPr>
          <w:rFonts w:ascii="Times New Roman" w:eastAsia="Times New Roman" w:hAnsi="Times New Roman" w:cs="Times New Roman"/>
          <w:sz w:val="24"/>
          <w:szCs w:val="24"/>
          <w:lang w:eastAsia="en-SG"/>
        </w:rPr>
        <w:t>GenCos</w:t>
      </w:r>
      <w:proofErr w:type="spellEnd"/>
      <w:r w:rsidRPr="005F5F47">
        <w:rPr>
          <w:rFonts w:ascii="Times New Roman" w:eastAsia="Times New Roman" w:hAnsi="Times New Roman" w:cs="Times New Roman"/>
          <w:sz w:val="24"/>
          <w:szCs w:val="24"/>
          <w:lang w:eastAsia="en-SG"/>
        </w:rPr>
        <w:t xml:space="preserve">, the [ERC] has resolved to allow a period of transition for the full implementation of the CSP [Guidelines] and, as such, restates the effectivity date of the CSP [Guidelines] to a later </w:t>
      </w:r>
      <w:proofErr w:type="gramStart"/>
      <w:r w:rsidRPr="005F5F47">
        <w:rPr>
          <w:rFonts w:ascii="Times New Roman" w:eastAsia="Times New Roman" w:hAnsi="Times New Roman" w:cs="Times New Roman"/>
          <w:sz w:val="24"/>
          <w:szCs w:val="24"/>
          <w:lang w:eastAsia="en-SG"/>
        </w:rPr>
        <w:t>date[</w:t>
      </w:r>
      <w:proofErr w:type="gramEnd"/>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[93]</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The CSP Guidelines did not, in the words of the OSG, "take effect immediately." Rather, it was the product of years of negotiation. The stakeholders were aware of the contents and the eventual implementation of CSP. Moreover, the CSP Guidelines, although signed on 20 October 2015, took effect on 7 November 2015, or 18 days after signing.</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i/>
          <w:iCs/>
          <w:sz w:val="24"/>
          <w:szCs w:val="24"/>
          <w:lang w:eastAsia="en-SG"/>
        </w:rPr>
        <w:t>Why the ERC Gravely Abused its Discretion: Obligations of a Distribution Utility in the Electric Power Industry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EPIRA divided the electric power industry into four sectors, namely: generation, transmission, distribution, and supply.</w:t>
      </w:r>
      <w:r w:rsidRPr="005F5F47">
        <w:rPr>
          <w:rFonts w:ascii="Times New Roman" w:eastAsia="Times New Roman" w:hAnsi="Times New Roman" w:cs="Times New Roman"/>
          <w:color w:val="FF0000"/>
          <w:sz w:val="24"/>
          <w:szCs w:val="24"/>
          <w:vertAlign w:val="superscript"/>
          <w:lang w:eastAsia="en-SG"/>
        </w:rPr>
        <w:t>[94]</w:t>
      </w:r>
      <w:r w:rsidRPr="005F5F47">
        <w:rPr>
          <w:rFonts w:ascii="Times New Roman" w:eastAsia="Times New Roman" w:hAnsi="Times New Roman" w:cs="Times New Roman"/>
          <w:sz w:val="24"/>
          <w:szCs w:val="24"/>
          <w:lang w:eastAsia="en-SG"/>
        </w:rPr>
        <w:t xml:space="preserve"> The distribution of electricity to end-users is a regulated common carrier business requiring a franchise.</w:t>
      </w:r>
      <w:r w:rsidRPr="005F5F47">
        <w:rPr>
          <w:rFonts w:ascii="Times New Roman" w:eastAsia="Times New Roman" w:hAnsi="Times New Roman" w:cs="Times New Roman"/>
          <w:color w:val="FF0000"/>
          <w:sz w:val="24"/>
          <w:szCs w:val="24"/>
          <w:vertAlign w:val="superscript"/>
          <w:lang w:eastAsia="en-SG"/>
        </w:rPr>
        <w:t>[95]</w:t>
      </w:r>
      <w:r w:rsidRPr="005F5F47">
        <w:rPr>
          <w:rFonts w:ascii="Times New Roman" w:eastAsia="Times New Roman" w:hAnsi="Times New Roman" w:cs="Times New Roman"/>
          <w:sz w:val="24"/>
          <w:szCs w:val="24"/>
          <w:lang w:eastAsia="en-SG"/>
        </w:rPr>
        <w:t xml:space="preserve"> We reiterate that the EPIRA mandates that a distribution utility has the obligation to supply electricity </w:t>
      </w:r>
      <w:r w:rsidRPr="005F5F47">
        <w:rPr>
          <w:rFonts w:ascii="Times New Roman" w:eastAsia="Times New Roman" w:hAnsi="Times New Roman" w:cs="Times New Roman"/>
          <w:b/>
          <w:bCs/>
          <w:sz w:val="24"/>
          <w:szCs w:val="24"/>
          <w:lang w:eastAsia="en-SG"/>
        </w:rPr>
        <w:t>in the least-cost manner to its captive market</w:t>
      </w:r>
      <w:r w:rsidRPr="005F5F47">
        <w:rPr>
          <w:rFonts w:ascii="Times New Roman" w:eastAsia="Times New Roman" w:hAnsi="Times New Roman" w:cs="Times New Roman"/>
          <w:sz w:val="24"/>
          <w:szCs w:val="24"/>
          <w:lang w:eastAsia="en-SG"/>
        </w:rPr>
        <w:t>, subject to the collection of distribution retail supply rate duly approved by the ERC.</w:t>
      </w:r>
      <w:r w:rsidRPr="005F5F47">
        <w:rPr>
          <w:rFonts w:ascii="Times New Roman" w:eastAsia="Times New Roman" w:hAnsi="Times New Roman" w:cs="Times New Roman"/>
          <w:color w:val="FF0000"/>
          <w:sz w:val="24"/>
          <w:szCs w:val="24"/>
          <w:vertAlign w:val="superscript"/>
          <w:lang w:eastAsia="en-SG"/>
        </w:rPr>
        <w:t>[96]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Republic Act No. 9209 granted </w:t>
      </w: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a congressional franchise to construct, operate, and maintain a distribution system for the conveyance of electric power to the end-users in the cities and municipalities of Metro Manila, </w:t>
      </w:r>
      <w:proofErr w:type="spellStart"/>
      <w:r w:rsidRPr="005F5F47">
        <w:rPr>
          <w:rFonts w:ascii="Times New Roman" w:eastAsia="Times New Roman" w:hAnsi="Times New Roman" w:cs="Times New Roman"/>
          <w:sz w:val="24"/>
          <w:szCs w:val="24"/>
          <w:lang w:eastAsia="en-SG"/>
        </w:rPr>
        <w:t>Bulacan</w:t>
      </w:r>
      <w:proofErr w:type="spellEnd"/>
      <w:r w:rsidRPr="005F5F47">
        <w:rPr>
          <w:rFonts w:ascii="Times New Roman" w:eastAsia="Times New Roman" w:hAnsi="Times New Roman" w:cs="Times New Roman"/>
          <w:sz w:val="24"/>
          <w:szCs w:val="24"/>
          <w:lang w:eastAsia="en-SG"/>
        </w:rPr>
        <w:t xml:space="preserve">, Cavite, and Rizal, and certain cities, municipalities, and barangays in </w:t>
      </w:r>
      <w:proofErr w:type="spellStart"/>
      <w:r w:rsidRPr="005F5F47">
        <w:rPr>
          <w:rFonts w:ascii="Times New Roman" w:eastAsia="Times New Roman" w:hAnsi="Times New Roman" w:cs="Times New Roman"/>
          <w:sz w:val="24"/>
          <w:szCs w:val="24"/>
          <w:lang w:eastAsia="en-SG"/>
        </w:rPr>
        <w:t>Batangas</w:t>
      </w:r>
      <w:proofErr w:type="spellEnd"/>
      <w:r w:rsidRPr="005F5F47">
        <w:rPr>
          <w:rFonts w:ascii="Times New Roman" w:eastAsia="Times New Roman" w:hAnsi="Times New Roman" w:cs="Times New Roman"/>
          <w:sz w:val="24"/>
          <w:szCs w:val="24"/>
          <w:lang w:eastAsia="en-SG"/>
        </w:rPr>
        <w:t xml:space="preserve">, Laguna, Quezon, and Pampanga. </w:t>
      </w:r>
      <w:proofErr w:type="spellStart"/>
      <w:r w:rsidRPr="005F5F47">
        <w:rPr>
          <w:rFonts w:ascii="Times New Roman" w:eastAsia="Times New Roman" w:hAnsi="Times New Roman" w:cs="Times New Roman"/>
          <w:b/>
          <w:bCs/>
          <w:sz w:val="24"/>
          <w:szCs w:val="24"/>
          <w:lang w:eastAsia="en-SG"/>
        </w:rPr>
        <w:t>Meralco's</w:t>
      </w:r>
      <w:proofErr w:type="spellEnd"/>
      <w:r w:rsidRPr="005F5F47">
        <w:rPr>
          <w:rFonts w:ascii="Times New Roman" w:eastAsia="Times New Roman" w:hAnsi="Times New Roman" w:cs="Times New Roman"/>
          <w:b/>
          <w:bCs/>
          <w:sz w:val="24"/>
          <w:szCs w:val="24"/>
          <w:lang w:eastAsia="en-SG"/>
        </w:rPr>
        <w:t xml:space="preserve"> franchise is in the nature of a monopoly because it does not have any competitor in its designated areas.</w:t>
      </w:r>
      <w:r w:rsidRPr="005F5F47">
        <w:rPr>
          <w:rFonts w:ascii="Times New Roman" w:eastAsia="Times New Roman" w:hAnsi="Times New Roman" w:cs="Times New Roman"/>
          <w:sz w:val="24"/>
          <w:szCs w:val="24"/>
          <w:lang w:eastAsia="en-SG"/>
        </w:rPr>
        <w:t xml:space="preserve"> The actual monopolistic nature of </w:t>
      </w:r>
      <w:proofErr w:type="spellStart"/>
      <w:r w:rsidRPr="005F5F47">
        <w:rPr>
          <w:rFonts w:ascii="Times New Roman" w:eastAsia="Times New Roman" w:hAnsi="Times New Roman" w:cs="Times New Roman"/>
          <w:sz w:val="24"/>
          <w:szCs w:val="24"/>
          <w:lang w:eastAsia="en-SG"/>
        </w:rPr>
        <w:t>Meralco's</w:t>
      </w:r>
      <w:proofErr w:type="spellEnd"/>
      <w:r w:rsidRPr="005F5F47">
        <w:rPr>
          <w:rFonts w:ascii="Times New Roman" w:eastAsia="Times New Roman" w:hAnsi="Times New Roman" w:cs="Times New Roman"/>
          <w:sz w:val="24"/>
          <w:szCs w:val="24"/>
          <w:lang w:eastAsia="en-SG"/>
        </w:rPr>
        <w:t xml:space="preserve"> franchise was recognized and addressed by the framers of our Constitution, thus: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MR. DAVIDE: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Under Section 15 on franchise, certificate, or any other form of authorization for the operation of a public utility, we notice that the restriction, provided in the 1973 Constitution that it should not be exclusive in character, is no longer provided. Therefore, </w:t>
      </w:r>
      <w:r w:rsidRPr="005F5F47">
        <w:rPr>
          <w:rFonts w:ascii="Times New Roman" w:eastAsia="Times New Roman" w:hAnsi="Times New Roman" w:cs="Times New Roman"/>
          <w:b/>
          <w:bCs/>
          <w:sz w:val="24"/>
          <w:szCs w:val="24"/>
          <w:lang w:eastAsia="en-SG"/>
        </w:rPr>
        <w:t>a franchise, certificate or any form of authorization for the operation of a public utility may be exclusive in character</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MR. VILLEGAS: I think, yes.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MR. DAVIDE: It may be "yes." </w:t>
      </w:r>
      <w:r w:rsidRPr="005F5F47">
        <w:rPr>
          <w:rFonts w:ascii="Times New Roman" w:eastAsia="Times New Roman" w:hAnsi="Times New Roman" w:cs="Times New Roman"/>
          <w:b/>
          <w:bCs/>
          <w:sz w:val="24"/>
          <w:szCs w:val="24"/>
          <w:lang w:eastAsia="en-SG"/>
        </w:rPr>
        <w:t>But would it not violate precisely the thrust against monopolies?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MR. VILLEGAS: The question is, we do not include the provision about the franchise being exclusive in character.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MR. SUAREZ: This matter was taken up during the Committee meetings. </w:t>
      </w:r>
      <w:r w:rsidRPr="005F5F47">
        <w:rPr>
          <w:rFonts w:ascii="Times New Roman" w:eastAsia="Times New Roman" w:hAnsi="Times New Roman" w:cs="Times New Roman"/>
          <w:b/>
          <w:bCs/>
          <w:sz w:val="24"/>
          <w:szCs w:val="24"/>
          <w:lang w:eastAsia="en-SG"/>
        </w:rPr>
        <w:t>The example of the public utility given was the MERALCO. If there is a proliferation of public utilities engaged in the servicing of the needs of the public for electric current, this may lead to more problems for the nation. That is why the Commissioner is correct in saying that that will constitute an exemption to the general rule that there must be no monopoly of any kind, but it could be operative in the case of public utilities.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lastRenderedPageBreak/>
        <w:t xml:space="preserve">MR. DAVIDE: </w:t>
      </w:r>
      <w:r w:rsidRPr="005F5F47">
        <w:rPr>
          <w:rFonts w:ascii="Times New Roman" w:eastAsia="Times New Roman" w:hAnsi="Times New Roman" w:cs="Times New Roman"/>
          <w:b/>
          <w:bCs/>
          <w:sz w:val="24"/>
          <w:szCs w:val="24"/>
          <w:lang w:eastAsia="en-SG"/>
        </w:rPr>
        <w:t>Does not the Commissioner believe that the other side of the coin may also be conducive to more keen competition and better public service?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MR. SUAREZ: </w:t>
      </w:r>
      <w:r w:rsidRPr="005F5F47">
        <w:rPr>
          <w:rFonts w:ascii="Times New Roman" w:eastAsia="Times New Roman" w:hAnsi="Times New Roman" w:cs="Times New Roman"/>
          <w:b/>
          <w:bCs/>
          <w:sz w:val="24"/>
          <w:szCs w:val="24"/>
          <w:lang w:eastAsia="en-SG"/>
        </w:rPr>
        <w:t>The Commissioner may be right.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MR. DAVIDE: Does not the Commissioner believe that we should restore the qualification that it should not be exclusive in character?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MR. SUAREZ: In other words, under the Commissioner's proposal, Metro Manila, for example, could be serviced by two or more public utilities similar to or identical with what MERALCO is giving to the public?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MR. DAVIDE: That is correct.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MR. SUAREZ: The Commissioner feels that that may create or generate improvement in the services?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MR. DAVIDE: Yes, because </w:t>
      </w:r>
      <w:r w:rsidRPr="005F5F47">
        <w:rPr>
          <w:rFonts w:ascii="Times New Roman" w:eastAsia="Times New Roman" w:hAnsi="Times New Roman" w:cs="Times New Roman"/>
          <w:b/>
          <w:bCs/>
          <w:sz w:val="24"/>
          <w:szCs w:val="24"/>
          <w:lang w:eastAsia="en-SG"/>
        </w:rPr>
        <w:t>if we now allow an exclusive grant of a franchise, that might not be conducive to public service</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MR. SUAREZ: We will consider that in the committee level.</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MR. MONSOD: With the Commissioner's permission, may I just amplify this.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MR. VILLEGAS: Commissioner </w:t>
      </w:r>
      <w:proofErr w:type="spellStart"/>
      <w:r w:rsidRPr="005F5F47">
        <w:rPr>
          <w:rFonts w:ascii="Times New Roman" w:eastAsia="Times New Roman" w:hAnsi="Times New Roman" w:cs="Times New Roman"/>
          <w:sz w:val="24"/>
          <w:szCs w:val="24"/>
          <w:lang w:eastAsia="en-SG"/>
        </w:rPr>
        <w:t>Monsod</w:t>
      </w:r>
      <w:proofErr w:type="spellEnd"/>
      <w:r w:rsidRPr="005F5F47">
        <w:rPr>
          <w:rFonts w:ascii="Times New Roman" w:eastAsia="Times New Roman" w:hAnsi="Times New Roman" w:cs="Times New Roman"/>
          <w:sz w:val="24"/>
          <w:szCs w:val="24"/>
          <w:lang w:eastAsia="en-SG"/>
        </w:rPr>
        <w:t xml:space="preserve"> would like to make a clarification.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MR. MONSOD: I believe the Commissioner is addressing himself to a situation where it lends itself to more than one franchise. </w:t>
      </w:r>
      <w:r w:rsidRPr="005F5F47">
        <w:rPr>
          <w:rFonts w:ascii="Times New Roman" w:eastAsia="Times New Roman" w:hAnsi="Times New Roman" w:cs="Times New Roman"/>
          <w:b/>
          <w:bCs/>
          <w:sz w:val="24"/>
          <w:szCs w:val="24"/>
          <w:lang w:eastAsia="en-SG"/>
        </w:rPr>
        <w:t>For example, electric power, it is possible that within a single grid, we may have different distribution companies. So the Commissioner is right in that sense that perhaps in some situations, non-exclusivity may be good for the public.</w:t>
      </w:r>
      <w:r w:rsidRPr="005F5F47">
        <w:rPr>
          <w:rFonts w:ascii="Times New Roman" w:eastAsia="Times New Roman" w:hAnsi="Times New Roman" w:cs="Times New Roman"/>
          <w:sz w:val="24"/>
          <w:szCs w:val="24"/>
          <w:lang w:eastAsia="en-SG"/>
        </w:rPr>
        <w:t xml:space="preserve"> But in the case of power generation, this may be a natural activity that can only be generated by one company, in which case, prohibiting exclusive franchise may not be in the public interest.</w:t>
      </w:r>
      <w:r w:rsidRPr="005F5F47">
        <w:rPr>
          <w:rFonts w:ascii="Times New Roman" w:eastAsia="Times New Roman" w:hAnsi="Times New Roman" w:cs="Times New Roman"/>
          <w:color w:val="FF0000"/>
          <w:sz w:val="24"/>
          <w:szCs w:val="24"/>
          <w:vertAlign w:val="superscript"/>
          <w:lang w:eastAsia="en-SG"/>
        </w:rPr>
        <w:t>[97]</w:t>
      </w:r>
      <w:r w:rsidRPr="005F5F47">
        <w:rPr>
          <w:rFonts w:ascii="Times New Roman" w:eastAsia="Times New Roman" w:hAnsi="Times New Roman" w:cs="Times New Roman"/>
          <w:sz w:val="24"/>
          <w:szCs w:val="24"/>
          <w:lang w:eastAsia="en-SG"/>
        </w:rPr>
        <w:t xml:space="preserve"> (Boldfacing added)</w:t>
      </w:r>
    </w:p>
    <w:p w:rsidR="005F5F47" w:rsidRPr="005F5F47" w:rsidRDefault="005F5F47" w:rsidP="005F5F47">
      <w:pPr>
        <w:spacing w:after="24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Section 5 of Republic Act No. 9209 provides that "[t]he retail rates to [</w:t>
      </w:r>
      <w:proofErr w:type="spellStart"/>
      <w:r w:rsidRPr="005F5F47">
        <w:rPr>
          <w:rFonts w:ascii="Times New Roman" w:eastAsia="Times New Roman" w:hAnsi="Times New Roman" w:cs="Times New Roman"/>
          <w:b/>
          <w:bCs/>
          <w:sz w:val="24"/>
          <w:szCs w:val="24"/>
          <w:lang w:eastAsia="en-SG"/>
        </w:rPr>
        <w:t>Meralco's</w:t>
      </w:r>
      <w:proofErr w:type="spellEnd"/>
      <w:r w:rsidRPr="005F5F47">
        <w:rPr>
          <w:rFonts w:ascii="Times New Roman" w:eastAsia="Times New Roman" w:hAnsi="Times New Roman" w:cs="Times New Roman"/>
          <w:b/>
          <w:bCs/>
          <w:sz w:val="24"/>
          <w:szCs w:val="24"/>
          <w:lang w:eastAsia="en-SG"/>
        </w:rPr>
        <w:t>] captive market and charges for the distribution of electric power by [</w:t>
      </w:r>
      <w:proofErr w:type="spellStart"/>
      <w:r w:rsidRPr="005F5F47">
        <w:rPr>
          <w:rFonts w:ascii="Times New Roman" w:eastAsia="Times New Roman" w:hAnsi="Times New Roman" w:cs="Times New Roman"/>
          <w:b/>
          <w:bCs/>
          <w:sz w:val="24"/>
          <w:szCs w:val="24"/>
          <w:lang w:eastAsia="en-SG"/>
        </w:rPr>
        <w:t>Meralco</w:t>
      </w:r>
      <w:proofErr w:type="spellEnd"/>
      <w:r w:rsidRPr="005F5F47">
        <w:rPr>
          <w:rFonts w:ascii="Times New Roman" w:eastAsia="Times New Roman" w:hAnsi="Times New Roman" w:cs="Times New Roman"/>
          <w:b/>
          <w:bCs/>
          <w:sz w:val="24"/>
          <w:szCs w:val="24"/>
          <w:lang w:eastAsia="en-SG"/>
        </w:rPr>
        <w:t>] to its end-users shall be regulated by and subject to the approval of the ERC."</w:t>
      </w:r>
      <w:r w:rsidRPr="005F5F47">
        <w:rPr>
          <w:rFonts w:ascii="Times New Roman" w:eastAsia="Times New Roman" w:hAnsi="Times New Roman" w:cs="Times New Roman"/>
          <w:sz w:val="24"/>
          <w:szCs w:val="24"/>
          <w:lang w:eastAsia="en-SG"/>
        </w:rPr>
        <w:t xml:space="preserve"> As the holder of a distribution franchise, </w:t>
      </w: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is obligated to provide electricity </w:t>
      </w:r>
      <w:r w:rsidRPr="005F5F47">
        <w:rPr>
          <w:rFonts w:ascii="Times New Roman" w:eastAsia="Times New Roman" w:hAnsi="Times New Roman" w:cs="Times New Roman"/>
          <w:b/>
          <w:bCs/>
          <w:sz w:val="24"/>
          <w:szCs w:val="24"/>
          <w:lang w:eastAsia="en-SG"/>
        </w:rPr>
        <w:t>at the least cost</w:t>
      </w:r>
      <w:r w:rsidRPr="005F5F47">
        <w:rPr>
          <w:rFonts w:ascii="Times New Roman" w:eastAsia="Times New Roman" w:hAnsi="Times New Roman" w:cs="Times New Roman"/>
          <w:sz w:val="24"/>
          <w:szCs w:val="24"/>
          <w:lang w:eastAsia="en-SG"/>
        </w:rPr>
        <w:t xml:space="preserve"> to its consumers. The ERC, as </w:t>
      </w:r>
      <w:proofErr w:type="spellStart"/>
      <w:r w:rsidRPr="005F5F47">
        <w:rPr>
          <w:rFonts w:ascii="Times New Roman" w:eastAsia="Times New Roman" w:hAnsi="Times New Roman" w:cs="Times New Roman"/>
          <w:sz w:val="24"/>
          <w:szCs w:val="24"/>
          <w:lang w:eastAsia="en-SG"/>
        </w:rPr>
        <w:t>Meralco's</w:t>
      </w:r>
      <w:proofErr w:type="spellEnd"/>
      <w:r w:rsidRPr="005F5F47">
        <w:rPr>
          <w:rFonts w:ascii="Times New Roman" w:eastAsia="Times New Roman" w:hAnsi="Times New Roman" w:cs="Times New Roman"/>
          <w:sz w:val="24"/>
          <w:szCs w:val="24"/>
          <w:lang w:eastAsia="en-SG"/>
        </w:rPr>
        <w:t xml:space="preserve"> rate regulator, approves the retail rates - comprising of power and distribution costs - to be charged to end-users. As we have demonstrated above, both </w:t>
      </w: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and the ERC have been remiss in their obligations. Going through competitive public bidding as prescribed in the 2015 DOE Circular is the only way to ensure a transparent and reasonable cost of electricity to consumers.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Lest we forget, the ERC is expressly mandated in Section 43(o) of the EP1RA of "</w:t>
      </w:r>
      <w:r w:rsidRPr="005F5F47">
        <w:rPr>
          <w:rFonts w:ascii="Times New Roman" w:eastAsia="Times New Roman" w:hAnsi="Times New Roman" w:cs="Times New Roman"/>
          <w:b/>
          <w:bCs/>
          <w:sz w:val="24"/>
          <w:szCs w:val="24"/>
          <w:lang w:eastAsia="en-SG"/>
        </w:rPr>
        <w:t xml:space="preserve">ensuring that the x </w:t>
      </w:r>
      <w:proofErr w:type="spellStart"/>
      <w:r w:rsidRPr="005F5F47">
        <w:rPr>
          <w:rFonts w:ascii="Times New Roman" w:eastAsia="Times New Roman" w:hAnsi="Times New Roman" w:cs="Times New Roman"/>
          <w:b/>
          <w:bCs/>
          <w:sz w:val="24"/>
          <w:szCs w:val="24"/>
          <w:lang w:eastAsia="en-SG"/>
        </w:rPr>
        <w:t>x</w:t>
      </w:r>
      <w:proofErr w:type="spellEnd"/>
      <w:r w:rsidRPr="005F5F47">
        <w:rPr>
          <w:rFonts w:ascii="Times New Roman" w:eastAsia="Times New Roman" w:hAnsi="Times New Roman" w:cs="Times New Roman"/>
          <w:b/>
          <w:bCs/>
          <w:sz w:val="24"/>
          <w:szCs w:val="24"/>
          <w:lang w:eastAsia="en-SG"/>
        </w:rPr>
        <w:t xml:space="preserve"> </w:t>
      </w:r>
      <w:proofErr w:type="spellStart"/>
      <w:r w:rsidRPr="005F5F47">
        <w:rPr>
          <w:rFonts w:ascii="Times New Roman" w:eastAsia="Times New Roman" w:hAnsi="Times New Roman" w:cs="Times New Roman"/>
          <w:b/>
          <w:bCs/>
          <w:sz w:val="24"/>
          <w:szCs w:val="24"/>
          <w:lang w:eastAsia="en-SG"/>
        </w:rPr>
        <w:t>x</w:t>
      </w:r>
      <w:proofErr w:type="spellEnd"/>
      <w:r w:rsidRPr="005F5F47">
        <w:rPr>
          <w:rFonts w:ascii="Times New Roman" w:eastAsia="Times New Roman" w:hAnsi="Times New Roman" w:cs="Times New Roman"/>
          <w:b/>
          <w:bCs/>
          <w:sz w:val="24"/>
          <w:szCs w:val="24"/>
          <w:lang w:eastAsia="en-SG"/>
        </w:rPr>
        <w:t xml:space="preserve"> pass through of bulk purchase cost by distributors is </w:t>
      </w:r>
      <w:r w:rsidRPr="005F5F47">
        <w:rPr>
          <w:rFonts w:ascii="Times New Roman" w:eastAsia="Times New Roman" w:hAnsi="Times New Roman" w:cs="Times New Roman"/>
          <w:b/>
          <w:bCs/>
          <w:i/>
          <w:iCs/>
          <w:sz w:val="24"/>
          <w:szCs w:val="24"/>
          <w:lang w:eastAsia="en-SG"/>
        </w:rPr>
        <w:t>transparent</w:t>
      </w:r>
      <w:r w:rsidRPr="005F5F47">
        <w:rPr>
          <w:rFonts w:ascii="Times New Roman" w:eastAsia="Times New Roman" w:hAnsi="Times New Roman" w:cs="Times New Roman"/>
          <w:sz w:val="24"/>
          <w:szCs w:val="24"/>
          <w:lang w:eastAsia="en-SG"/>
        </w:rPr>
        <w:t xml:space="preserve">." The ERC's postponement of CSP twice, </w:t>
      </w:r>
      <w:proofErr w:type="spellStart"/>
      <w:r w:rsidRPr="005F5F47">
        <w:rPr>
          <w:rFonts w:ascii="Times New Roman" w:eastAsia="Times New Roman" w:hAnsi="Times New Roman" w:cs="Times New Roman"/>
          <w:sz w:val="24"/>
          <w:szCs w:val="24"/>
          <w:lang w:eastAsia="en-SG"/>
        </w:rPr>
        <w:t>totaling</w:t>
      </w:r>
      <w:proofErr w:type="spellEnd"/>
      <w:r w:rsidRPr="005F5F47">
        <w:rPr>
          <w:rFonts w:ascii="Times New Roman" w:eastAsia="Times New Roman" w:hAnsi="Times New Roman" w:cs="Times New Roman"/>
          <w:sz w:val="24"/>
          <w:szCs w:val="24"/>
          <w:lang w:eastAsia="en-SG"/>
        </w:rPr>
        <w:t xml:space="preserve"> 305 days and enabling </w:t>
      </w:r>
      <w:r w:rsidRPr="005F5F47">
        <w:rPr>
          <w:rFonts w:ascii="Times New Roman" w:eastAsia="Times New Roman" w:hAnsi="Times New Roman" w:cs="Times New Roman"/>
          <w:b/>
          <w:bCs/>
          <w:sz w:val="24"/>
          <w:szCs w:val="24"/>
          <w:lang w:eastAsia="en-SG"/>
        </w:rPr>
        <w:t>90 PSAs</w:t>
      </w:r>
      <w:r w:rsidRPr="005F5F47">
        <w:rPr>
          <w:rFonts w:ascii="Times New Roman" w:eastAsia="Times New Roman" w:hAnsi="Times New Roman" w:cs="Times New Roman"/>
          <w:sz w:val="24"/>
          <w:szCs w:val="24"/>
          <w:lang w:eastAsia="en-SG"/>
        </w:rPr>
        <w:t xml:space="preserve"> in various areas of the country to avoid CSP for </w:t>
      </w:r>
      <w:r w:rsidRPr="005F5F47">
        <w:rPr>
          <w:rFonts w:ascii="Times New Roman" w:eastAsia="Times New Roman" w:hAnsi="Times New Roman" w:cs="Times New Roman"/>
          <w:b/>
          <w:bCs/>
          <w:sz w:val="24"/>
          <w:szCs w:val="24"/>
          <w:lang w:eastAsia="en-SG"/>
        </w:rPr>
        <w:t>at least 20 years</w:t>
      </w:r>
      <w:r w:rsidRPr="005F5F47">
        <w:rPr>
          <w:rFonts w:ascii="Times New Roman" w:eastAsia="Times New Roman" w:hAnsi="Times New Roman" w:cs="Times New Roman"/>
          <w:sz w:val="24"/>
          <w:szCs w:val="24"/>
          <w:lang w:eastAsia="en-SG"/>
        </w:rPr>
        <w:t xml:space="preserve">, directly and glaringly violates this express mandate of the ERC, resulting in the non-transparent, secretive fixing of prices for bulk purchases of electricity, to the great prejudice of the 95 million Filipinos living in this country as well as the millions of business enterprises operating in this country. This ERC action is a </w:t>
      </w:r>
      <w:r w:rsidRPr="005F5F47">
        <w:rPr>
          <w:rFonts w:ascii="Times New Roman" w:eastAsia="Times New Roman" w:hAnsi="Times New Roman" w:cs="Times New Roman"/>
          <w:sz w:val="24"/>
          <w:szCs w:val="24"/>
          <w:lang w:eastAsia="en-SG"/>
        </w:rPr>
        <w:lastRenderedPageBreak/>
        <w:t>most extreme instance of grave abuse of discretion, amounting to lack or excess of jurisdiction, warranting the strong condemnation by this Court and the annulment of the ERC's action.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Absent compliance with CSP in accordance with the 2015 DOE Circular, the PSAs shall be valid only as between the DUs and the power generation suppliers, and shall not bind the DOE, the ERC, and the public for purposes of determining the transparent and reasonable power purchase cost to be passed on to consumers.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On 1 February 2018, the DOE issued Circular No. DC2018-02-0003 entitled "</w:t>
      </w:r>
      <w:r w:rsidRPr="005F5F47">
        <w:rPr>
          <w:rFonts w:ascii="Times New Roman" w:eastAsia="Times New Roman" w:hAnsi="Times New Roman" w:cs="Times New Roman"/>
          <w:b/>
          <w:bCs/>
          <w:sz w:val="24"/>
          <w:szCs w:val="24"/>
          <w:lang w:eastAsia="en-SG"/>
        </w:rPr>
        <w:t>Adopting and Prescribing the Policy for the Competitive Selection Process in the Procurement by the Distribution Utilities of Power Supply Agreements for the Captive Market</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lang w:eastAsia="en-SG"/>
        </w:rPr>
        <w:t>(2018 DOE Circular)</w:t>
      </w:r>
      <w:r w:rsidRPr="005F5F47">
        <w:rPr>
          <w:rFonts w:ascii="Times New Roman" w:eastAsia="Times New Roman" w:hAnsi="Times New Roman" w:cs="Times New Roman"/>
          <w:sz w:val="24"/>
          <w:szCs w:val="24"/>
          <w:lang w:eastAsia="en-SG"/>
        </w:rPr>
        <w:t xml:space="preserve">. The DOE prescribed, in Annex "A" of this 2018 DOE Circular, the DOE's own CSP Policy in the procurement of power supply by DUs for their captive market </w:t>
      </w:r>
      <w:r w:rsidRPr="005F5F47">
        <w:rPr>
          <w:rFonts w:ascii="Times New Roman" w:eastAsia="Times New Roman" w:hAnsi="Times New Roman" w:cs="Times New Roman"/>
          <w:b/>
          <w:bCs/>
          <w:sz w:val="24"/>
          <w:szCs w:val="24"/>
          <w:lang w:eastAsia="en-SG"/>
        </w:rPr>
        <w:t>(2018 DOE CSP Policy)</w:t>
      </w:r>
      <w:r w:rsidRPr="005F5F47">
        <w:rPr>
          <w:rFonts w:ascii="Times New Roman" w:eastAsia="Times New Roman" w:hAnsi="Times New Roman" w:cs="Times New Roman"/>
          <w:sz w:val="24"/>
          <w:szCs w:val="24"/>
          <w:lang w:eastAsia="en-SG"/>
        </w:rPr>
        <w:t xml:space="preserve">. Section 16.1 of the 2018 DOE CSP Policy </w:t>
      </w:r>
      <w:r w:rsidRPr="005F5F47">
        <w:rPr>
          <w:rFonts w:ascii="Times New Roman" w:eastAsia="Times New Roman" w:hAnsi="Times New Roman" w:cs="Times New Roman"/>
          <w:b/>
          <w:bCs/>
          <w:sz w:val="24"/>
          <w:szCs w:val="24"/>
          <w:lang w:eastAsia="en-SG"/>
        </w:rPr>
        <w:t>expressly repealed Section 4 of the 2015 DOE Circular authorizing ERC to issue supplemental guidelines to implement CSP</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 xml:space="preserve">In short, the DOE </w:t>
      </w:r>
      <w:r w:rsidRPr="005F5F47">
        <w:rPr>
          <w:rFonts w:ascii="Times New Roman" w:eastAsia="Times New Roman" w:hAnsi="Times New Roman" w:cs="Times New Roman"/>
          <w:b/>
          <w:bCs/>
          <w:i/>
          <w:iCs/>
          <w:sz w:val="24"/>
          <w:szCs w:val="24"/>
          <w:lang w:eastAsia="en-SG"/>
        </w:rPr>
        <w:t>revoked</w:t>
      </w:r>
      <w:r w:rsidRPr="005F5F47">
        <w:rPr>
          <w:rFonts w:ascii="Times New Roman" w:eastAsia="Times New Roman" w:hAnsi="Times New Roman" w:cs="Times New Roman"/>
          <w:b/>
          <w:bCs/>
          <w:sz w:val="24"/>
          <w:szCs w:val="24"/>
          <w:lang w:eastAsia="en-SG"/>
        </w:rPr>
        <w:t xml:space="preserve"> the authority it delegated to the ERC to issue supplemental guidelines to implement CSP, and the DOE itself issued its own guidelines, the 2018 DOE CSP Policy, to implement CSP under the 2015 DOE Circular.</w:t>
      </w:r>
      <w:r w:rsidRPr="005F5F47">
        <w:rPr>
          <w:rFonts w:ascii="Times New Roman" w:eastAsia="Times New Roman" w:hAnsi="Times New Roman" w:cs="Times New Roman"/>
          <w:sz w:val="24"/>
          <w:szCs w:val="24"/>
          <w:lang w:eastAsia="en-SG"/>
        </w:rPr>
        <w:t xml:space="preserve"> This means that the CSP Guidelines issued by the ERC have become </w:t>
      </w:r>
      <w:proofErr w:type="spellStart"/>
      <w:r w:rsidRPr="005F5F47">
        <w:rPr>
          <w:rFonts w:ascii="Times New Roman" w:eastAsia="Times New Roman" w:hAnsi="Times New Roman" w:cs="Times New Roman"/>
          <w:i/>
          <w:iCs/>
          <w:sz w:val="24"/>
          <w:szCs w:val="24"/>
          <w:lang w:eastAsia="en-SG"/>
        </w:rPr>
        <w:t>functus</w:t>
      </w:r>
      <w:proofErr w:type="spellEnd"/>
      <w:r w:rsidRPr="005F5F47">
        <w:rPr>
          <w:rFonts w:ascii="Times New Roman" w:eastAsia="Times New Roman" w:hAnsi="Times New Roman" w:cs="Times New Roman"/>
          <w:i/>
          <w:iCs/>
          <w:sz w:val="24"/>
          <w:szCs w:val="24"/>
          <w:lang w:eastAsia="en-SG"/>
        </w:rPr>
        <w:t xml:space="preserve"> officio</w:t>
      </w:r>
      <w:r w:rsidRPr="005F5F47">
        <w:rPr>
          <w:rFonts w:ascii="Times New Roman" w:eastAsia="Times New Roman" w:hAnsi="Times New Roman" w:cs="Times New Roman"/>
          <w:sz w:val="24"/>
          <w:szCs w:val="24"/>
          <w:lang w:eastAsia="en-SG"/>
        </w:rPr>
        <w:t xml:space="preserve"> and have been superseded by the 2018 DOE CSP Policy. Under its Section 15, the 2018 DOE CSP Policy is expressly made to apply to "</w:t>
      </w:r>
      <w:r w:rsidRPr="005F5F47">
        <w:rPr>
          <w:rFonts w:ascii="Times New Roman" w:eastAsia="Times New Roman" w:hAnsi="Times New Roman" w:cs="Times New Roman"/>
          <w:b/>
          <w:bCs/>
          <w:sz w:val="24"/>
          <w:szCs w:val="24"/>
          <w:lang w:eastAsia="en-SG"/>
        </w:rPr>
        <w:t xml:space="preserve">all </w:t>
      </w:r>
      <w:r w:rsidRPr="005F5F47">
        <w:rPr>
          <w:rFonts w:ascii="Times New Roman" w:eastAsia="Times New Roman" w:hAnsi="Times New Roman" w:cs="Times New Roman"/>
          <w:b/>
          <w:bCs/>
          <w:i/>
          <w:iCs/>
          <w:sz w:val="24"/>
          <w:szCs w:val="24"/>
          <w:lang w:eastAsia="en-SG"/>
        </w:rPr>
        <w:t>prospective</w:t>
      </w:r>
      <w:r w:rsidRPr="005F5F47">
        <w:rPr>
          <w:rFonts w:ascii="Times New Roman" w:eastAsia="Times New Roman" w:hAnsi="Times New Roman" w:cs="Times New Roman"/>
          <w:b/>
          <w:bCs/>
          <w:sz w:val="24"/>
          <w:szCs w:val="24"/>
          <w:lang w:eastAsia="en-SG"/>
        </w:rPr>
        <w:t xml:space="preserve"> PSAs</w:t>
      </w:r>
      <w:r w:rsidRPr="005F5F47">
        <w:rPr>
          <w:rFonts w:ascii="Times New Roman" w:eastAsia="Times New Roman" w:hAnsi="Times New Roman" w:cs="Times New Roman"/>
          <w:sz w:val="24"/>
          <w:szCs w:val="24"/>
          <w:lang w:eastAsia="en-SG"/>
        </w:rPr>
        <w:t>." The 2018 DOE Circular, including its Annex "A," took effect upon its publication on 9 February 2018. Thus, the 90 PSAs mentioned in this present case must undergo CSP in accordance with the 2018 DOE Circular, in particular the 2018 DOE CSP Policy prescribed in Annex "A" of the 2018 DOE Circular.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WHEREFORE</w:t>
      </w:r>
      <w:r w:rsidRPr="005F5F47">
        <w:rPr>
          <w:rFonts w:ascii="Times New Roman" w:eastAsia="Times New Roman" w:hAnsi="Times New Roman" w:cs="Times New Roman"/>
          <w:sz w:val="24"/>
          <w:szCs w:val="24"/>
          <w:lang w:eastAsia="en-SG"/>
        </w:rPr>
        <w:t xml:space="preserve">, the petition for </w:t>
      </w:r>
      <w:r w:rsidRPr="005F5F47">
        <w:rPr>
          <w:rFonts w:ascii="Times New Roman" w:eastAsia="Times New Roman" w:hAnsi="Times New Roman" w:cs="Times New Roman"/>
          <w:i/>
          <w:iCs/>
          <w:sz w:val="24"/>
          <w:szCs w:val="24"/>
          <w:lang w:eastAsia="en-SG"/>
        </w:rPr>
        <w:t>certiorari</w:t>
      </w:r>
      <w:r w:rsidRPr="005F5F47">
        <w:rPr>
          <w:rFonts w:ascii="Times New Roman" w:eastAsia="Times New Roman" w:hAnsi="Times New Roman" w:cs="Times New Roman"/>
          <w:sz w:val="24"/>
          <w:szCs w:val="24"/>
          <w:lang w:eastAsia="en-SG"/>
        </w:rPr>
        <w:t xml:space="preserve"> and prohibition is </w:t>
      </w:r>
      <w:r w:rsidRPr="005F5F47">
        <w:rPr>
          <w:rFonts w:ascii="Times New Roman" w:eastAsia="Times New Roman" w:hAnsi="Times New Roman" w:cs="Times New Roman"/>
          <w:b/>
          <w:bCs/>
          <w:sz w:val="24"/>
          <w:szCs w:val="24"/>
          <w:lang w:eastAsia="en-SG"/>
        </w:rPr>
        <w:t>GRANTED</w:t>
      </w:r>
      <w:r w:rsidRPr="005F5F47">
        <w:rPr>
          <w:rFonts w:ascii="Times New Roman" w:eastAsia="Times New Roman" w:hAnsi="Times New Roman" w:cs="Times New Roman"/>
          <w:sz w:val="24"/>
          <w:szCs w:val="24"/>
          <w:lang w:eastAsia="en-SG"/>
        </w:rPr>
        <w:t xml:space="preserve">. The first paragraph of Section 4 of Energy Regulatory Commission Resolution No. 13, Series of 2015 (CSP Guidelines), and Energy Regulatory Commission Resolution No. 1, Series of 2016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 are hereby declared </w:t>
      </w:r>
      <w:r w:rsidRPr="005F5F47">
        <w:rPr>
          <w:rFonts w:ascii="Times New Roman" w:eastAsia="Times New Roman" w:hAnsi="Times New Roman" w:cs="Times New Roman"/>
          <w:b/>
          <w:bCs/>
          <w:sz w:val="24"/>
          <w:szCs w:val="24"/>
          <w:lang w:eastAsia="en-SG"/>
        </w:rPr>
        <w:t xml:space="preserve">VOID </w:t>
      </w:r>
      <w:r w:rsidRPr="005F5F47">
        <w:rPr>
          <w:rFonts w:ascii="Times New Roman" w:eastAsia="Times New Roman" w:hAnsi="Times New Roman" w:cs="Times New Roman"/>
          <w:b/>
          <w:bCs/>
          <w:i/>
          <w:iCs/>
          <w:sz w:val="24"/>
          <w:szCs w:val="24"/>
          <w:lang w:eastAsia="en-SG"/>
        </w:rPr>
        <w:t>ab initio</w:t>
      </w:r>
      <w:r w:rsidRPr="005F5F47">
        <w:rPr>
          <w:rFonts w:ascii="Times New Roman" w:eastAsia="Times New Roman" w:hAnsi="Times New Roman" w:cs="Times New Roman"/>
          <w:sz w:val="24"/>
          <w:szCs w:val="24"/>
          <w:lang w:eastAsia="en-SG"/>
        </w:rPr>
        <w:t>. Consequently, all Power Supply Agreement applications submitted by Distribution Utilities to the Energy Regulatory Commission on or after 30 June 2015 shall comply with the Competitive Selection Process in accordance with Department of Energy Circular No. DC2018-02-0003 (2018 DOE Circular) and its Annex "A." Upon compliance with the Competitive Selection Process, the power purchase cost resulting from such compliance shall retroact to the date of effectivity of the complying Power Supply Agreement, but in no case earlier than 30 June 2015, for purposes of passing on the power purchase cost to consumers.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SO ORDERED.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proofErr w:type="spellStart"/>
      <w:r w:rsidRPr="005F5F47">
        <w:rPr>
          <w:rFonts w:ascii="Times New Roman" w:eastAsia="Times New Roman" w:hAnsi="Times New Roman" w:cs="Times New Roman"/>
          <w:i/>
          <w:iCs/>
          <w:sz w:val="24"/>
          <w:szCs w:val="24"/>
          <w:lang w:eastAsia="en-SG"/>
        </w:rPr>
        <w:t>Bersamin</w:t>
      </w:r>
      <w:proofErr w:type="spellEnd"/>
      <w:r w:rsidRPr="005F5F47">
        <w:rPr>
          <w:rFonts w:ascii="Times New Roman" w:eastAsia="Times New Roman" w:hAnsi="Times New Roman" w:cs="Times New Roman"/>
          <w:i/>
          <w:iCs/>
          <w:sz w:val="24"/>
          <w:szCs w:val="24"/>
          <w:lang w:eastAsia="en-SG"/>
        </w:rPr>
        <w:t xml:space="preserve">, C. J., Peralta, Del Castillo, J. Reyes, Jr., Hernando, </w:t>
      </w:r>
      <w:proofErr w:type="spellStart"/>
      <w:r w:rsidRPr="005F5F47">
        <w:rPr>
          <w:rFonts w:ascii="Times New Roman" w:eastAsia="Times New Roman" w:hAnsi="Times New Roman" w:cs="Times New Roman"/>
          <w:i/>
          <w:iCs/>
          <w:sz w:val="24"/>
          <w:szCs w:val="24"/>
          <w:lang w:eastAsia="en-SG"/>
        </w:rPr>
        <w:t>Carandang</w:t>
      </w:r>
      <w:proofErr w:type="spellEnd"/>
      <w:r w:rsidRPr="005F5F47">
        <w:rPr>
          <w:rFonts w:ascii="Times New Roman" w:eastAsia="Times New Roman" w:hAnsi="Times New Roman" w:cs="Times New Roman"/>
          <w:sz w:val="24"/>
          <w:szCs w:val="24"/>
          <w:lang w:eastAsia="en-SG"/>
        </w:rPr>
        <w:t xml:space="preserve">, and </w:t>
      </w:r>
      <w:r w:rsidRPr="005F5F47">
        <w:rPr>
          <w:rFonts w:ascii="Times New Roman" w:eastAsia="Times New Roman" w:hAnsi="Times New Roman" w:cs="Times New Roman"/>
          <w:i/>
          <w:iCs/>
          <w:sz w:val="24"/>
          <w:szCs w:val="24"/>
          <w:lang w:eastAsia="en-SG"/>
        </w:rPr>
        <w:t xml:space="preserve">Lazaro-Javier, </w:t>
      </w:r>
      <w:proofErr w:type="gramStart"/>
      <w:r w:rsidRPr="005F5F47">
        <w:rPr>
          <w:rFonts w:ascii="Times New Roman" w:eastAsia="Times New Roman" w:hAnsi="Times New Roman" w:cs="Times New Roman"/>
          <w:i/>
          <w:iCs/>
          <w:sz w:val="24"/>
          <w:szCs w:val="24"/>
          <w:lang w:eastAsia="en-SG"/>
        </w:rPr>
        <w:t>JJ.</w:t>
      </w:r>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t xml:space="preserve"> concur.</w:t>
      </w:r>
      <w:r w:rsidRPr="005F5F47">
        <w:rPr>
          <w:rFonts w:ascii="Times New Roman" w:eastAsia="Times New Roman" w:hAnsi="Times New Roman" w:cs="Times New Roman"/>
          <w:sz w:val="24"/>
          <w:szCs w:val="24"/>
          <w:lang w:eastAsia="en-SG"/>
        </w:rPr>
        <w:br/>
      </w:r>
      <w:proofErr w:type="spellStart"/>
      <w:r w:rsidRPr="005F5F47">
        <w:rPr>
          <w:rFonts w:ascii="Times New Roman" w:eastAsia="Times New Roman" w:hAnsi="Times New Roman" w:cs="Times New Roman"/>
          <w:i/>
          <w:iCs/>
          <w:sz w:val="24"/>
          <w:szCs w:val="24"/>
          <w:lang w:eastAsia="en-SG"/>
        </w:rPr>
        <w:t>Perlas-Bernabe</w:t>
      </w:r>
      <w:proofErr w:type="spellEnd"/>
      <w:r w:rsidRPr="005F5F47">
        <w:rPr>
          <w:rFonts w:ascii="Times New Roman" w:eastAsia="Times New Roman" w:hAnsi="Times New Roman" w:cs="Times New Roman"/>
          <w:i/>
          <w:iCs/>
          <w:sz w:val="24"/>
          <w:szCs w:val="24"/>
          <w:lang w:eastAsia="en-SG"/>
        </w:rPr>
        <w:t>, J.</w:t>
      </w:r>
      <w:r w:rsidRPr="005F5F47">
        <w:rPr>
          <w:rFonts w:ascii="Times New Roman" w:eastAsia="Times New Roman" w:hAnsi="Times New Roman" w:cs="Times New Roman"/>
          <w:sz w:val="24"/>
          <w:szCs w:val="24"/>
          <w:lang w:eastAsia="en-SG"/>
        </w:rPr>
        <w:t>, Please see Separate Concurring Opinion.</w:t>
      </w:r>
      <w:r w:rsidRPr="005F5F47">
        <w:rPr>
          <w:rFonts w:ascii="Times New Roman" w:eastAsia="Times New Roman" w:hAnsi="Times New Roman" w:cs="Times New Roman"/>
          <w:sz w:val="24"/>
          <w:szCs w:val="24"/>
          <w:lang w:eastAsia="en-SG"/>
        </w:rPr>
        <w:br/>
      </w:r>
      <w:proofErr w:type="spellStart"/>
      <w:r w:rsidRPr="005F5F47">
        <w:rPr>
          <w:rFonts w:ascii="Times New Roman" w:eastAsia="Times New Roman" w:hAnsi="Times New Roman" w:cs="Times New Roman"/>
          <w:i/>
          <w:iCs/>
          <w:sz w:val="24"/>
          <w:szCs w:val="24"/>
          <w:lang w:eastAsia="en-SG"/>
        </w:rPr>
        <w:t>Leonen</w:t>
      </w:r>
      <w:proofErr w:type="spellEnd"/>
      <w:r w:rsidRPr="005F5F47">
        <w:rPr>
          <w:rFonts w:ascii="Times New Roman" w:eastAsia="Times New Roman" w:hAnsi="Times New Roman" w:cs="Times New Roman"/>
          <w:i/>
          <w:iCs/>
          <w:sz w:val="24"/>
          <w:szCs w:val="24"/>
          <w:lang w:eastAsia="en-SG"/>
        </w:rPr>
        <w:t>, J.</w:t>
      </w:r>
      <w:r w:rsidRPr="005F5F47">
        <w:rPr>
          <w:rFonts w:ascii="Times New Roman" w:eastAsia="Times New Roman" w:hAnsi="Times New Roman" w:cs="Times New Roman"/>
          <w:sz w:val="24"/>
          <w:szCs w:val="24"/>
          <w:lang w:eastAsia="en-SG"/>
        </w:rPr>
        <w:t xml:space="preserve">, I concur. I join J. </w:t>
      </w:r>
      <w:proofErr w:type="spellStart"/>
      <w:r w:rsidRPr="005F5F47">
        <w:rPr>
          <w:rFonts w:ascii="Times New Roman" w:eastAsia="Times New Roman" w:hAnsi="Times New Roman" w:cs="Times New Roman"/>
          <w:sz w:val="24"/>
          <w:szCs w:val="24"/>
          <w:lang w:eastAsia="en-SG"/>
        </w:rPr>
        <w:t>Carpio</w:t>
      </w:r>
      <w:proofErr w:type="spellEnd"/>
      <w:r w:rsidRPr="005F5F47">
        <w:rPr>
          <w:rFonts w:ascii="Times New Roman" w:eastAsia="Times New Roman" w:hAnsi="Times New Roman" w:cs="Times New Roman"/>
          <w:sz w:val="24"/>
          <w:szCs w:val="24"/>
          <w:lang w:eastAsia="en-SG"/>
        </w:rPr>
        <w:t xml:space="preserve"> and J. </w:t>
      </w:r>
      <w:proofErr w:type="spellStart"/>
      <w:r w:rsidRPr="005F5F47">
        <w:rPr>
          <w:rFonts w:ascii="Times New Roman" w:eastAsia="Times New Roman" w:hAnsi="Times New Roman" w:cs="Times New Roman"/>
          <w:sz w:val="24"/>
          <w:szCs w:val="24"/>
          <w:lang w:eastAsia="en-SG"/>
        </w:rPr>
        <w:t>Bernabe</w:t>
      </w:r>
      <w:proofErr w:type="spellEnd"/>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proofErr w:type="spellStart"/>
      <w:r w:rsidRPr="005F5F47">
        <w:rPr>
          <w:rFonts w:ascii="Times New Roman" w:eastAsia="Times New Roman" w:hAnsi="Times New Roman" w:cs="Times New Roman"/>
          <w:i/>
          <w:iCs/>
          <w:sz w:val="24"/>
          <w:szCs w:val="24"/>
          <w:lang w:eastAsia="en-SG"/>
        </w:rPr>
        <w:t>Jardeleza</w:t>
      </w:r>
      <w:proofErr w:type="spellEnd"/>
      <w:r w:rsidRPr="005F5F47">
        <w:rPr>
          <w:rFonts w:ascii="Times New Roman" w:eastAsia="Times New Roman" w:hAnsi="Times New Roman" w:cs="Times New Roman"/>
          <w:i/>
          <w:iCs/>
          <w:sz w:val="24"/>
          <w:szCs w:val="24"/>
          <w:lang w:eastAsia="en-SG"/>
        </w:rPr>
        <w:t>, J.</w:t>
      </w:r>
      <w:r w:rsidRPr="005F5F47">
        <w:rPr>
          <w:rFonts w:ascii="Times New Roman" w:eastAsia="Times New Roman" w:hAnsi="Times New Roman" w:cs="Times New Roman"/>
          <w:sz w:val="24"/>
          <w:szCs w:val="24"/>
          <w:lang w:eastAsia="en-SG"/>
        </w:rPr>
        <w:t>, no part.</w:t>
      </w:r>
      <w:r w:rsidRPr="005F5F47">
        <w:rPr>
          <w:rFonts w:ascii="Times New Roman" w:eastAsia="Times New Roman" w:hAnsi="Times New Roman" w:cs="Times New Roman"/>
          <w:sz w:val="24"/>
          <w:szCs w:val="24"/>
          <w:lang w:eastAsia="en-SG"/>
        </w:rPr>
        <w:br/>
      </w:r>
      <w:proofErr w:type="spellStart"/>
      <w:r w:rsidRPr="005F5F47">
        <w:rPr>
          <w:rFonts w:ascii="Times New Roman" w:eastAsia="Times New Roman" w:hAnsi="Times New Roman" w:cs="Times New Roman"/>
          <w:i/>
          <w:iCs/>
          <w:sz w:val="24"/>
          <w:szCs w:val="24"/>
          <w:lang w:eastAsia="en-SG"/>
        </w:rPr>
        <w:t>Caguioa</w:t>
      </w:r>
      <w:proofErr w:type="spellEnd"/>
      <w:r w:rsidRPr="005F5F47">
        <w:rPr>
          <w:rFonts w:ascii="Times New Roman" w:eastAsia="Times New Roman" w:hAnsi="Times New Roman" w:cs="Times New Roman"/>
          <w:i/>
          <w:iCs/>
          <w:sz w:val="24"/>
          <w:szCs w:val="24"/>
          <w:lang w:eastAsia="en-SG"/>
        </w:rPr>
        <w:t>, J.</w:t>
      </w:r>
      <w:r w:rsidRPr="005F5F47">
        <w:rPr>
          <w:rFonts w:ascii="Times New Roman" w:eastAsia="Times New Roman" w:hAnsi="Times New Roman" w:cs="Times New Roman"/>
          <w:sz w:val="24"/>
          <w:szCs w:val="24"/>
          <w:lang w:eastAsia="en-SG"/>
        </w:rPr>
        <w:t>, See Dissenting Opinion.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i/>
          <w:iCs/>
          <w:sz w:val="24"/>
          <w:szCs w:val="24"/>
          <w:lang w:eastAsia="en-SG"/>
        </w:rPr>
        <w:t>A. Reyes, Jr., J.</w:t>
      </w:r>
      <w:r w:rsidRPr="005F5F47">
        <w:rPr>
          <w:rFonts w:ascii="Times New Roman" w:eastAsia="Times New Roman" w:hAnsi="Times New Roman" w:cs="Times New Roman"/>
          <w:sz w:val="24"/>
          <w:szCs w:val="24"/>
          <w:lang w:eastAsia="en-SG"/>
        </w:rPr>
        <w:t>, See my dissenting opinion.</w:t>
      </w:r>
      <w:r w:rsidRPr="005F5F47">
        <w:rPr>
          <w:rFonts w:ascii="Times New Roman" w:eastAsia="Times New Roman" w:hAnsi="Times New Roman" w:cs="Times New Roman"/>
          <w:sz w:val="24"/>
          <w:szCs w:val="24"/>
          <w:lang w:eastAsia="en-SG"/>
        </w:rPr>
        <w:br/>
      </w:r>
      <w:proofErr w:type="spellStart"/>
      <w:r w:rsidRPr="005F5F47">
        <w:rPr>
          <w:rFonts w:ascii="Times New Roman" w:eastAsia="Times New Roman" w:hAnsi="Times New Roman" w:cs="Times New Roman"/>
          <w:i/>
          <w:iCs/>
          <w:sz w:val="24"/>
          <w:szCs w:val="24"/>
          <w:lang w:eastAsia="en-SG"/>
        </w:rPr>
        <w:lastRenderedPageBreak/>
        <w:t>Gesmundo</w:t>
      </w:r>
      <w:proofErr w:type="spellEnd"/>
      <w:r w:rsidRPr="005F5F47">
        <w:rPr>
          <w:rFonts w:ascii="Times New Roman" w:eastAsia="Times New Roman" w:hAnsi="Times New Roman" w:cs="Times New Roman"/>
          <w:i/>
          <w:iCs/>
          <w:sz w:val="24"/>
          <w:szCs w:val="24"/>
          <w:lang w:eastAsia="en-SG"/>
        </w:rPr>
        <w:t>, J.</w:t>
      </w:r>
      <w:r w:rsidRPr="005F5F47">
        <w:rPr>
          <w:rFonts w:ascii="Times New Roman" w:eastAsia="Times New Roman" w:hAnsi="Times New Roman" w:cs="Times New Roman"/>
          <w:sz w:val="24"/>
          <w:szCs w:val="24"/>
          <w:lang w:eastAsia="en-SG"/>
        </w:rPr>
        <w:t xml:space="preserve">, I certify that Justice </w:t>
      </w:r>
      <w:proofErr w:type="spellStart"/>
      <w:r w:rsidRPr="005F5F47">
        <w:rPr>
          <w:rFonts w:ascii="Times New Roman" w:eastAsia="Times New Roman" w:hAnsi="Times New Roman" w:cs="Times New Roman"/>
          <w:sz w:val="24"/>
          <w:szCs w:val="24"/>
          <w:lang w:eastAsia="en-SG"/>
        </w:rPr>
        <w:t>Gesmundo</w:t>
      </w:r>
      <w:proofErr w:type="spellEnd"/>
      <w:r w:rsidRPr="005F5F47">
        <w:rPr>
          <w:rFonts w:ascii="Times New Roman" w:eastAsia="Times New Roman" w:hAnsi="Times New Roman" w:cs="Times New Roman"/>
          <w:sz w:val="24"/>
          <w:szCs w:val="24"/>
          <w:lang w:eastAsia="en-SG"/>
        </w:rPr>
        <w:t xml:space="preserve"> who is travelling on official business left his vote for the opinion of Justice </w:t>
      </w:r>
      <w:proofErr w:type="spellStart"/>
      <w:r w:rsidRPr="005F5F47">
        <w:rPr>
          <w:rFonts w:ascii="Times New Roman" w:eastAsia="Times New Roman" w:hAnsi="Times New Roman" w:cs="Times New Roman"/>
          <w:sz w:val="24"/>
          <w:szCs w:val="24"/>
          <w:lang w:eastAsia="en-SG"/>
        </w:rPr>
        <w:t>Carpio</w:t>
      </w:r>
      <w:proofErr w:type="spellEnd"/>
      <w:r w:rsidRPr="005F5F47">
        <w:rPr>
          <w:rFonts w:ascii="Times New Roman" w:eastAsia="Times New Roman" w:hAnsi="Times New Roman" w:cs="Times New Roman"/>
          <w:sz w:val="24"/>
          <w:szCs w:val="24"/>
          <w:lang w:eastAsia="en-SG"/>
        </w:rPr>
        <w:t>.</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pict>
          <v:rect id="_x0000_i1035" style="width:270.8pt;height:.75pt" o:hrpct="600" o:hralign="center" o:hrstd="t" o:hrnoshade="t" o:hr="t" fillcolor="#a0a0a0" stroked="f"/>
        </w:pic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p>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NOTICE OF JUDGMENT</w:t>
      </w:r>
    </w:p>
    <w:p w:rsidR="005F5F47" w:rsidRPr="005F5F47" w:rsidRDefault="005F5F47" w:rsidP="005F5F47">
      <w:pPr>
        <w:spacing w:after="24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br/>
        <w:t>Sirs/Mesdames: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Please take notice that on </w:t>
      </w:r>
      <w:r w:rsidRPr="005F5F47">
        <w:rPr>
          <w:rFonts w:ascii="Times New Roman" w:eastAsia="Times New Roman" w:hAnsi="Times New Roman" w:cs="Times New Roman"/>
          <w:sz w:val="24"/>
          <w:szCs w:val="24"/>
          <w:u w:val="single"/>
          <w:lang w:eastAsia="en-SG"/>
        </w:rPr>
        <w:t>May 3, 2019</w:t>
      </w:r>
      <w:r w:rsidRPr="005F5F47">
        <w:rPr>
          <w:rFonts w:ascii="Times New Roman" w:eastAsia="Times New Roman" w:hAnsi="Times New Roman" w:cs="Times New Roman"/>
          <w:sz w:val="24"/>
          <w:szCs w:val="24"/>
          <w:lang w:eastAsia="en-SG"/>
        </w:rPr>
        <w:t xml:space="preserve"> a Decision, copy attached herewith, was rendered by the Supreme Court in the above-entitled case, the original of which was received by this Office on May 17, 2019 at 10:20 a.m.</w:t>
      </w:r>
    </w:p>
    <w:tbl>
      <w:tblPr>
        <w:tblW w:w="5000" w:type="pct"/>
        <w:tblCellSpacing w:w="0" w:type="dxa"/>
        <w:tblCellMar>
          <w:left w:w="0" w:type="dxa"/>
          <w:right w:w="0" w:type="dxa"/>
        </w:tblCellMar>
        <w:tblLook w:val="04A0" w:firstRow="1" w:lastRow="0" w:firstColumn="1" w:lastColumn="0" w:noHBand="0" w:noVBand="1"/>
      </w:tblPr>
      <w:tblGrid>
        <w:gridCol w:w="6769"/>
        <w:gridCol w:w="2257"/>
      </w:tblGrid>
      <w:tr w:rsidR="005F5F47" w:rsidRPr="005F5F47" w:rsidTr="005F5F47">
        <w:trPr>
          <w:tblCellSpacing w:w="0" w:type="dxa"/>
        </w:trPr>
        <w:tc>
          <w:tcPr>
            <w:tcW w:w="3750" w:type="pct"/>
            <w:vAlign w:val="center"/>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1250" w:type="pct"/>
            <w:vAlign w:val="center"/>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Very truly yours, </w:t>
            </w:r>
          </w:p>
        </w:tc>
      </w:tr>
      <w:tr w:rsidR="005F5F47" w:rsidRPr="005F5F47" w:rsidTr="005F5F47">
        <w:trPr>
          <w:tblCellSpacing w:w="0" w:type="dxa"/>
        </w:trPr>
        <w:tc>
          <w:tcPr>
            <w:tcW w:w="0" w:type="auto"/>
            <w:vAlign w:val="center"/>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vAlign w:val="center"/>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vAlign w:val="center"/>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vAlign w:val="center"/>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 xml:space="preserve">(SGD) EDGAR O. ARICHETA </w:t>
            </w:r>
          </w:p>
        </w:tc>
      </w:tr>
      <w:tr w:rsidR="005F5F47" w:rsidRPr="005F5F47" w:rsidTr="005F5F47">
        <w:trPr>
          <w:tblCellSpacing w:w="0" w:type="dxa"/>
        </w:trPr>
        <w:tc>
          <w:tcPr>
            <w:tcW w:w="0" w:type="auto"/>
            <w:vAlign w:val="center"/>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w:t>
            </w:r>
          </w:p>
        </w:tc>
        <w:tc>
          <w:tcPr>
            <w:tcW w:w="0" w:type="auto"/>
            <w:vAlign w:val="center"/>
            <w:hideMark/>
          </w:tcPr>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Clerk of Court</w:t>
            </w:r>
          </w:p>
        </w:tc>
      </w:tr>
    </w:tbl>
    <w:p w:rsidR="005F5F47" w:rsidRPr="005F5F47" w:rsidRDefault="005F5F47" w:rsidP="005F5F47">
      <w:pPr>
        <w:spacing w:after="0" w:line="240" w:lineRule="auto"/>
        <w:rPr>
          <w:rFonts w:ascii="Times New Roman" w:eastAsia="Times New Roman" w:hAnsi="Times New Roman" w:cs="Times New Roman"/>
          <w:sz w:val="24"/>
          <w:szCs w:val="24"/>
          <w:lang w:eastAsia="en-SG"/>
        </w:rPr>
      </w:pP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pict>
          <v:rect id="_x0000_i1036" style="width:270.8pt;height:.75pt" o:hrpct="600" o:hrstd="t" o:hrnoshade="t" o:hr="t" fillcolor="#a0a0a0" stroked="f"/>
        </w:pic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color w:val="FF0000"/>
          <w:sz w:val="24"/>
          <w:szCs w:val="24"/>
          <w:vertAlign w:val="superscript"/>
          <w:lang w:eastAsia="en-SG"/>
        </w:rPr>
        <w:t>[1]</w:t>
      </w:r>
      <w:r w:rsidRPr="005F5F47">
        <w:rPr>
          <w:rFonts w:ascii="Times New Roman" w:eastAsia="Times New Roman" w:hAnsi="Times New Roman" w:cs="Times New Roman"/>
          <w:sz w:val="24"/>
          <w:szCs w:val="24"/>
          <w:lang w:eastAsia="en-SG"/>
        </w:rPr>
        <w:t xml:space="preserve"> See Renewable Energy Auctions in Developing Countries (2013), </w:t>
      </w:r>
      <w:hyperlink r:id="rId5" w:history="1">
        <w:r w:rsidRPr="005F5F47">
          <w:rPr>
            <w:rFonts w:ascii="Times New Roman" w:eastAsia="Times New Roman" w:hAnsi="Times New Roman" w:cs="Times New Roman"/>
            <w:color w:val="0000FF"/>
            <w:sz w:val="24"/>
            <w:szCs w:val="24"/>
            <w:u w:val="single"/>
            <w:lang w:eastAsia="en-SG"/>
          </w:rPr>
          <w:t>https://www.irena.org/documentdownloads/publications/irena_renewable_energy_auctions_in_developing_countries.pdf</w:t>
        </w:r>
      </w:hyperlink>
      <w:r w:rsidRPr="005F5F47">
        <w:rPr>
          <w:rFonts w:ascii="Times New Roman" w:eastAsia="Times New Roman" w:hAnsi="Times New Roman" w:cs="Times New Roman"/>
          <w:sz w:val="24"/>
          <w:szCs w:val="24"/>
          <w:lang w:eastAsia="en-SG"/>
        </w:rPr>
        <w:t xml:space="preserve">; Electricity Auctions: An Overview of Efficient Practices (2011), </w:t>
      </w:r>
      <w:hyperlink r:id="rId6" w:history="1">
        <w:r w:rsidRPr="005F5F47">
          <w:rPr>
            <w:rFonts w:ascii="Times New Roman" w:eastAsia="Times New Roman" w:hAnsi="Times New Roman" w:cs="Times New Roman"/>
            <w:color w:val="0000FF"/>
            <w:sz w:val="24"/>
            <w:szCs w:val="24"/>
            <w:u w:val="single"/>
            <w:lang w:eastAsia="en-SG"/>
          </w:rPr>
          <w:t>http://hdl.handle.net/10986/2346</w:t>
        </w:r>
      </w:hyperlink>
      <w:r w:rsidRPr="005F5F47">
        <w:rPr>
          <w:rFonts w:ascii="Times New Roman" w:eastAsia="Times New Roman" w:hAnsi="Times New Roman" w:cs="Times New Roman"/>
          <w:sz w:val="24"/>
          <w:szCs w:val="24"/>
          <w:lang w:eastAsia="en-SG"/>
        </w:rPr>
        <w:t xml:space="preserve">; Competitive Procurement of Retail Electricity Supply: Recent Trends in State Policies and Utility Practices (2008), </w:t>
      </w:r>
      <w:hyperlink r:id="rId7" w:history="1">
        <w:r w:rsidRPr="005F5F47">
          <w:rPr>
            <w:rFonts w:ascii="Times New Roman" w:eastAsia="Times New Roman" w:hAnsi="Times New Roman" w:cs="Times New Roman"/>
            <w:color w:val="0000FF"/>
            <w:sz w:val="24"/>
            <w:szCs w:val="24"/>
            <w:u w:val="single"/>
            <w:lang w:eastAsia="en-SG"/>
          </w:rPr>
          <w:t>https://www.analysisgroup.com/uploadedfiles/content/insights/publishing/competitive_procurement.pdf</w:t>
        </w:r>
      </w:hyperlink>
      <w:r w:rsidRPr="005F5F47">
        <w:rPr>
          <w:rFonts w:ascii="Times New Roman" w:eastAsia="Times New Roman" w:hAnsi="Times New Roman" w:cs="Times New Roman"/>
          <w:sz w:val="24"/>
          <w:szCs w:val="24"/>
          <w:lang w:eastAsia="en-SG"/>
        </w:rPr>
        <w:t xml:space="preserve"> [All accessed 4 March 2019].</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w:t>
      </w:r>
      <w:r w:rsidRPr="005F5F47">
        <w:rPr>
          <w:rFonts w:ascii="Times New Roman" w:eastAsia="Times New Roman" w:hAnsi="Times New Roman" w:cs="Times New Roman"/>
          <w:sz w:val="24"/>
          <w:szCs w:val="24"/>
          <w:lang w:eastAsia="en-SG"/>
        </w:rPr>
        <w:t xml:space="preserve"> Another way for the State to intervene is to examine the accounts of public utilities. Section 22, Chapter 4, Subtitle B, Title I, Book V of the Administrative Code of 1987 provides: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Section 22. </w:t>
      </w:r>
      <w:r w:rsidRPr="005F5F47">
        <w:rPr>
          <w:rFonts w:ascii="Times New Roman" w:eastAsia="Times New Roman" w:hAnsi="Times New Roman" w:cs="Times New Roman"/>
          <w:i/>
          <w:iCs/>
          <w:sz w:val="24"/>
          <w:szCs w:val="24"/>
          <w:lang w:eastAsia="en-SG"/>
        </w:rPr>
        <w:t>Authority to Examine Accounts of Public Utilities</w:t>
      </w:r>
      <w:r w:rsidRPr="005F5F47">
        <w:rPr>
          <w:rFonts w:ascii="Times New Roman" w:eastAsia="Times New Roman" w:hAnsi="Times New Roman" w:cs="Times New Roman"/>
          <w:sz w:val="24"/>
          <w:szCs w:val="24"/>
          <w:lang w:eastAsia="en-SG"/>
        </w:rPr>
        <w:t>. - (1) The Commission [on Audit] shall examine and audit the books, records and accounts of public utilities in connection with the fixing of rates of every nature, or in relation to the proceedings of the proper regulatory agencies, for purposes of determining franchise taxes;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(2) Any public utility refusing to allow an examination and audit of its books of accounts and pertinent records, or offering unnecessary obstruction to the examination and audit, or found guilty of concealing any material information concerning its financial status shall be subject to the penalties provided by law; and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(3) During the examination and audit, the public utility concerned shall produce all the reports, records, books of accounts and such other papers as may be required. The Commission shall have the power to examine under oath any official or employee of the said public utility.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w:t>
      </w:r>
      <w:r w:rsidRPr="005F5F47">
        <w:rPr>
          <w:rFonts w:ascii="Times New Roman" w:eastAsia="Times New Roman" w:hAnsi="Times New Roman" w:cs="Times New Roman"/>
          <w:sz w:val="24"/>
          <w:szCs w:val="24"/>
          <w:lang w:eastAsia="en-SG"/>
        </w:rPr>
        <w:t xml:space="preserve"> This provision reads</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Section 1. The judicial power shall be vested in one Supreme Court and in such lower courts </w:t>
      </w:r>
      <w:r w:rsidRPr="005F5F47">
        <w:rPr>
          <w:rFonts w:ascii="Times New Roman" w:eastAsia="Times New Roman" w:hAnsi="Times New Roman" w:cs="Times New Roman"/>
          <w:sz w:val="24"/>
          <w:szCs w:val="24"/>
          <w:lang w:eastAsia="en-SG"/>
        </w:rPr>
        <w:lastRenderedPageBreak/>
        <w:t>as may be established by law.</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Judicial power includes the duty of the courts of justice to settle actual controversies involving rights which are legally demandable and enforceable, and to determine whether or not there has been a grave abuse of discretion amounting to lack or excess of jurisdiction on the part of any branch or instrumentality of the Government.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w:t>
      </w:r>
      <w:r w:rsidRPr="005F5F47">
        <w:rPr>
          <w:rFonts w:ascii="Times New Roman" w:eastAsia="Times New Roman" w:hAnsi="Times New Roman" w:cs="Times New Roman"/>
          <w:sz w:val="24"/>
          <w:szCs w:val="24"/>
          <w:lang w:eastAsia="en-SG"/>
        </w:rPr>
        <w:t xml:space="preserve"> Under Rule 65 of the Rules of Court.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Rollo</w:t>
      </w:r>
      <w:r w:rsidRPr="005F5F47">
        <w:rPr>
          <w:rFonts w:ascii="Times New Roman" w:eastAsia="Times New Roman" w:hAnsi="Times New Roman" w:cs="Times New Roman"/>
          <w:sz w:val="24"/>
          <w:szCs w:val="24"/>
          <w:lang w:eastAsia="en-SG"/>
        </w:rPr>
        <w:t>, p. 33.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w:t>
      </w:r>
      <w:r w:rsidRPr="005F5F47">
        <w:rPr>
          <w:rFonts w:ascii="Times New Roman" w:eastAsia="Times New Roman" w:hAnsi="Times New Roman" w:cs="Times New Roman"/>
          <w:sz w:val="24"/>
          <w:szCs w:val="24"/>
          <w:lang w:eastAsia="en-SG"/>
        </w:rPr>
        <w:t xml:space="preserve"> Id. at 54, 329, 749.</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w:t>
      </w:r>
      <w:r w:rsidRPr="005F5F47">
        <w:rPr>
          <w:rFonts w:ascii="Times New Roman" w:eastAsia="Times New Roman" w:hAnsi="Times New Roman" w:cs="Times New Roman"/>
          <w:sz w:val="24"/>
          <w:szCs w:val="24"/>
          <w:lang w:eastAsia="en-SG"/>
        </w:rPr>
        <w:t xml:space="preserve"> Id. at 55, 750.</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w:t>
      </w:r>
      <w:r w:rsidRPr="005F5F47">
        <w:rPr>
          <w:rFonts w:ascii="Times New Roman" w:eastAsia="Times New Roman" w:hAnsi="Times New Roman" w:cs="Times New Roman"/>
          <w:sz w:val="24"/>
          <w:szCs w:val="24"/>
          <w:lang w:eastAsia="en-SG"/>
        </w:rPr>
        <w:t xml:space="preserve"> Id. at 501.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w:t>
      </w:r>
      <w:r w:rsidRPr="005F5F47">
        <w:rPr>
          <w:rFonts w:ascii="Times New Roman" w:eastAsia="Times New Roman" w:hAnsi="Times New Roman" w:cs="Times New Roman"/>
          <w:sz w:val="24"/>
          <w:szCs w:val="24"/>
          <w:lang w:eastAsia="en-SG"/>
        </w:rPr>
        <w:t xml:space="preserve"> Id. at 329, 501.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[10]</w:t>
      </w:r>
      <w:r w:rsidRPr="005F5F47">
        <w:rPr>
          <w:rFonts w:ascii="Times New Roman" w:eastAsia="Times New Roman" w:hAnsi="Times New Roman" w:cs="Times New Roman"/>
          <w:sz w:val="24"/>
          <w:szCs w:val="24"/>
          <w:lang w:eastAsia="en-SG"/>
        </w:rPr>
        <w:t xml:space="preserve"> Id. at 329.</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[11]</w:t>
      </w:r>
      <w:r w:rsidRPr="005F5F47">
        <w:rPr>
          <w:rFonts w:ascii="Times New Roman" w:eastAsia="Times New Roman" w:hAnsi="Times New Roman" w:cs="Times New Roman"/>
          <w:sz w:val="24"/>
          <w:szCs w:val="24"/>
          <w:lang w:eastAsia="en-SG"/>
        </w:rPr>
        <w:t xml:space="preserve"> Id. at 77, 388.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[12]</w:t>
      </w:r>
      <w:r w:rsidRPr="005F5F47">
        <w:rPr>
          <w:rFonts w:ascii="Times New Roman" w:eastAsia="Times New Roman" w:hAnsi="Times New Roman" w:cs="Times New Roman"/>
          <w:sz w:val="24"/>
          <w:szCs w:val="24"/>
          <w:lang w:eastAsia="en-SG"/>
        </w:rPr>
        <w:t xml:space="preserve"> Id. at 77, 591.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[13]</w:t>
      </w:r>
      <w:r w:rsidRPr="005F5F47">
        <w:rPr>
          <w:rFonts w:ascii="Times New Roman" w:eastAsia="Times New Roman" w:hAnsi="Times New Roman" w:cs="Times New Roman"/>
          <w:sz w:val="24"/>
          <w:szCs w:val="24"/>
          <w:lang w:eastAsia="en-SG"/>
        </w:rPr>
        <w:t xml:space="preserve"> Id. at 501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[14]</w:t>
      </w:r>
      <w:r w:rsidRPr="005F5F47">
        <w:rPr>
          <w:rFonts w:ascii="Times New Roman" w:eastAsia="Times New Roman" w:hAnsi="Times New Roman" w:cs="Times New Roman"/>
          <w:sz w:val="24"/>
          <w:szCs w:val="24"/>
          <w:lang w:eastAsia="en-SG"/>
        </w:rPr>
        <w:t xml:space="preserve"> Id. at 388.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[15]</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[16]</w:t>
      </w:r>
      <w:r w:rsidRPr="005F5F47">
        <w:rPr>
          <w:rFonts w:ascii="Times New Roman" w:eastAsia="Times New Roman" w:hAnsi="Times New Roman" w:cs="Times New Roman"/>
          <w:sz w:val="24"/>
          <w:szCs w:val="24"/>
          <w:lang w:eastAsia="en-SG"/>
        </w:rPr>
        <w:t xml:space="preserve"> Id. at 95, 445, 814.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[17]</w:t>
      </w:r>
      <w:r w:rsidRPr="005F5F47">
        <w:rPr>
          <w:rFonts w:ascii="Times New Roman" w:eastAsia="Times New Roman" w:hAnsi="Times New Roman" w:cs="Times New Roman"/>
          <w:sz w:val="24"/>
          <w:szCs w:val="24"/>
          <w:lang w:eastAsia="en-SG"/>
        </w:rPr>
        <w:t xml:space="preserve"> Id. at 96, 814.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[18]</w:t>
      </w:r>
      <w:r w:rsidRPr="005F5F47">
        <w:rPr>
          <w:rFonts w:ascii="Times New Roman" w:eastAsia="Times New Roman" w:hAnsi="Times New Roman" w:cs="Times New Roman"/>
          <w:sz w:val="24"/>
          <w:szCs w:val="24"/>
          <w:lang w:eastAsia="en-SG"/>
        </w:rPr>
        <w:t xml:space="preserve"> Id. at 502.</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[19]</w:t>
      </w:r>
      <w:r w:rsidRPr="005F5F47">
        <w:rPr>
          <w:rFonts w:ascii="Times New Roman" w:eastAsia="Times New Roman" w:hAnsi="Times New Roman" w:cs="Times New Roman"/>
          <w:sz w:val="24"/>
          <w:szCs w:val="24"/>
          <w:lang w:eastAsia="en-SG"/>
        </w:rPr>
        <w:t xml:space="preserve"> Id. at 445.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[20]</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[21]</w:t>
      </w:r>
      <w:r w:rsidRPr="005F5F47">
        <w:rPr>
          <w:rFonts w:ascii="Times New Roman" w:eastAsia="Times New Roman" w:hAnsi="Times New Roman" w:cs="Times New Roman"/>
          <w:sz w:val="24"/>
          <w:szCs w:val="24"/>
          <w:lang w:eastAsia="en-SG"/>
        </w:rPr>
        <w:t xml:space="preserve"> Id. at 148, 698.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[22]</w:t>
      </w:r>
      <w:r w:rsidRPr="005F5F47">
        <w:rPr>
          <w:rFonts w:ascii="Times New Roman" w:eastAsia="Times New Roman" w:hAnsi="Times New Roman" w:cs="Times New Roman"/>
          <w:sz w:val="24"/>
          <w:szCs w:val="24"/>
          <w:lang w:eastAsia="en-SG"/>
        </w:rPr>
        <w:t xml:space="preserve"> Id. at 148, 699.</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[23]</w:t>
      </w:r>
      <w:r w:rsidRPr="005F5F47">
        <w:rPr>
          <w:rFonts w:ascii="Times New Roman" w:eastAsia="Times New Roman" w:hAnsi="Times New Roman" w:cs="Times New Roman"/>
          <w:sz w:val="24"/>
          <w:szCs w:val="24"/>
          <w:lang w:eastAsia="en-SG"/>
        </w:rPr>
        <w:t xml:space="preserve"> Id. at 501.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[24]</w:t>
      </w:r>
      <w:r w:rsidRPr="005F5F47">
        <w:rPr>
          <w:rFonts w:ascii="Times New Roman" w:eastAsia="Times New Roman" w:hAnsi="Times New Roman" w:cs="Times New Roman"/>
          <w:sz w:val="24"/>
          <w:szCs w:val="24"/>
          <w:lang w:eastAsia="en-SG"/>
        </w:rPr>
        <w:t xml:space="preserve"> Id. at 987-988.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[25]</w:t>
      </w:r>
      <w:r w:rsidRPr="005F5F47">
        <w:rPr>
          <w:rFonts w:ascii="Times New Roman" w:eastAsia="Times New Roman" w:hAnsi="Times New Roman" w:cs="Times New Roman"/>
          <w:sz w:val="24"/>
          <w:szCs w:val="24"/>
          <w:lang w:eastAsia="en-SG"/>
        </w:rPr>
        <w:t xml:space="preserve"> Id. at 988.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lastRenderedPageBreak/>
        <w:br/>
      </w:r>
      <w:r w:rsidRPr="005F5F47">
        <w:rPr>
          <w:rFonts w:ascii="Times New Roman" w:eastAsia="Times New Roman" w:hAnsi="Times New Roman" w:cs="Times New Roman"/>
          <w:color w:val="FF0000"/>
          <w:sz w:val="24"/>
          <w:szCs w:val="24"/>
          <w:vertAlign w:val="superscript"/>
          <w:lang w:eastAsia="en-SG"/>
        </w:rPr>
        <w:t>[26]</w:t>
      </w:r>
      <w:r w:rsidRPr="005F5F47">
        <w:rPr>
          <w:rFonts w:ascii="Times New Roman" w:eastAsia="Times New Roman" w:hAnsi="Times New Roman" w:cs="Times New Roman"/>
          <w:sz w:val="24"/>
          <w:szCs w:val="24"/>
          <w:lang w:eastAsia="en-SG"/>
        </w:rPr>
        <w:t xml:space="preserve"> Id. at 164.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[27]</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[28]</w:t>
      </w:r>
      <w:r w:rsidRPr="005F5F47">
        <w:rPr>
          <w:rFonts w:ascii="Times New Roman" w:eastAsia="Times New Roman" w:hAnsi="Times New Roman" w:cs="Times New Roman"/>
          <w:sz w:val="24"/>
          <w:szCs w:val="24"/>
          <w:lang w:eastAsia="en-SG"/>
        </w:rPr>
        <w:t xml:space="preserve"> Id. at 502.</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[29]</w:t>
      </w:r>
      <w:r w:rsidRPr="005F5F47">
        <w:rPr>
          <w:rFonts w:ascii="Times New Roman" w:eastAsia="Times New Roman" w:hAnsi="Times New Roman" w:cs="Times New Roman"/>
          <w:sz w:val="24"/>
          <w:szCs w:val="24"/>
          <w:lang w:eastAsia="en-SG"/>
        </w:rPr>
        <w:t xml:space="preserve"> Id. at 988.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[30]</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[31]</w:t>
      </w:r>
      <w:r w:rsidRPr="005F5F47">
        <w:rPr>
          <w:rFonts w:ascii="Times New Roman" w:eastAsia="Times New Roman" w:hAnsi="Times New Roman" w:cs="Times New Roman"/>
          <w:sz w:val="24"/>
          <w:szCs w:val="24"/>
          <w:lang w:eastAsia="en-SG"/>
        </w:rPr>
        <w:t xml:space="preserve"> Id. at 112, 646.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[32]</w:t>
      </w:r>
      <w:r w:rsidRPr="005F5F47">
        <w:rPr>
          <w:rFonts w:ascii="Times New Roman" w:eastAsia="Times New Roman" w:hAnsi="Times New Roman" w:cs="Times New Roman"/>
          <w:sz w:val="24"/>
          <w:szCs w:val="24"/>
          <w:lang w:eastAsia="en-SG"/>
        </w:rPr>
        <w:t xml:space="preserve"> Id. at 112, 647.</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[33]</w:t>
      </w:r>
      <w:r w:rsidRPr="005F5F47">
        <w:rPr>
          <w:rFonts w:ascii="Times New Roman" w:eastAsia="Times New Roman" w:hAnsi="Times New Roman" w:cs="Times New Roman"/>
          <w:sz w:val="24"/>
          <w:szCs w:val="24"/>
          <w:lang w:eastAsia="en-SG"/>
        </w:rPr>
        <w:t xml:space="preserve"> Id. at 503.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[34]</w:t>
      </w:r>
      <w:r w:rsidRPr="005F5F47">
        <w:rPr>
          <w:rFonts w:ascii="Times New Roman" w:eastAsia="Times New Roman" w:hAnsi="Times New Roman" w:cs="Times New Roman"/>
          <w:sz w:val="24"/>
          <w:szCs w:val="24"/>
          <w:lang w:eastAsia="en-SG"/>
        </w:rPr>
        <w:t xml:space="preserve"> Id. at 1326.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[35]</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[36]</w:t>
      </w:r>
      <w:r w:rsidRPr="005F5F47">
        <w:rPr>
          <w:rFonts w:ascii="Times New Roman" w:eastAsia="Times New Roman" w:hAnsi="Times New Roman" w:cs="Times New Roman"/>
          <w:sz w:val="24"/>
          <w:szCs w:val="24"/>
          <w:lang w:eastAsia="en-SG"/>
        </w:rPr>
        <w:t xml:space="preserve"> Id. at 130.</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[37]</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[38]</w:t>
      </w:r>
      <w:r w:rsidRPr="005F5F47">
        <w:rPr>
          <w:rFonts w:ascii="Times New Roman" w:eastAsia="Times New Roman" w:hAnsi="Times New Roman" w:cs="Times New Roman"/>
          <w:sz w:val="24"/>
          <w:szCs w:val="24"/>
          <w:lang w:eastAsia="en-SG"/>
        </w:rPr>
        <w:t xml:space="preserve"> Id. at 502.</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[39]</w:t>
      </w:r>
      <w:r w:rsidRPr="005F5F47">
        <w:rPr>
          <w:rFonts w:ascii="Times New Roman" w:eastAsia="Times New Roman" w:hAnsi="Times New Roman" w:cs="Times New Roman"/>
          <w:sz w:val="24"/>
          <w:szCs w:val="24"/>
          <w:lang w:eastAsia="en-SG"/>
        </w:rPr>
        <w:t xml:space="preserve"> Id. at 1346.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[40]</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[41]</w:t>
      </w:r>
      <w:r w:rsidRPr="005F5F47">
        <w:rPr>
          <w:rFonts w:ascii="Times New Roman" w:eastAsia="Times New Roman" w:hAnsi="Times New Roman" w:cs="Times New Roman"/>
          <w:sz w:val="24"/>
          <w:szCs w:val="24"/>
          <w:lang w:eastAsia="en-SG"/>
        </w:rPr>
        <w:t xml:space="preserve"> Id. at 346 (RPE), 411 (A1E).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[42]</w:t>
      </w:r>
      <w:r w:rsidRPr="005F5F47">
        <w:rPr>
          <w:rFonts w:ascii="Times New Roman" w:eastAsia="Times New Roman" w:hAnsi="Times New Roman" w:cs="Times New Roman"/>
          <w:sz w:val="24"/>
          <w:szCs w:val="24"/>
          <w:lang w:eastAsia="en-SG"/>
        </w:rPr>
        <w:t xml:space="preserve"> Id. at 534.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[43]</w:t>
      </w:r>
      <w:r w:rsidRPr="005F5F47">
        <w:rPr>
          <w:rFonts w:ascii="Times New Roman" w:eastAsia="Times New Roman" w:hAnsi="Times New Roman" w:cs="Times New Roman"/>
          <w:sz w:val="24"/>
          <w:szCs w:val="24"/>
          <w:lang w:eastAsia="en-SG"/>
        </w:rPr>
        <w:t xml:space="preserve"> Id. at 1325 (CLPPC), 1345 (MPGC).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[44]</w:t>
      </w:r>
      <w:r w:rsidRPr="005F5F47">
        <w:rPr>
          <w:rFonts w:ascii="Times New Roman" w:eastAsia="Times New Roman" w:hAnsi="Times New Roman" w:cs="Times New Roman"/>
          <w:sz w:val="24"/>
          <w:szCs w:val="24"/>
          <w:lang w:eastAsia="en-SG"/>
        </w:rPr>
        <w:t xml:space="preserve"> Id. at 497.</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[45]</w:t>
      </w:r>
      <w:r w:rsidRPr="005F5F47">
        <w:rPr>
          <w:rFonts w:ascii="Times New Roman" w:eastAsia="Times New Roman" w:hAnsi="Times New Roman" w:cs="Times New Roman"/>
          <w:sz w:val="24"/>
          <w:szCs w:val="24"/>
          <w:lang w:eastAsia="en-SG"/>
        </w:rPr>
        <w:t xml:space="preserve"> Id. Boldfacing added.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[46]</w:t>
      </w:r>
      <w:r w:rsidRPr="005F5F47">
        <w:rPr>
          <w:rFonts w:ascii="Times New Roman" w:eastAsia="Times New Roman" w:hAnsi="Times New Roman" w:cs="Times New Roman"/>
          <w:sz w:val="24"/>
          <w:szCs w:val="24"/>
          <w:lang w:eastAsia="en-SG"/>
        </w:rPr>
        <w:t xml:space="preserve"> Id. at 506.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[47]</w:t>
      </w:r>
      <w:r w:rsidRPr="005F5F47">
        <w:rPr>
          <w:rFonts w:ascii="Times New Roman" w:eastAsia="Times New Roman" w:hAnsi="Times New Roman" w:cs="Times New Roman"/>
          <w:sz w:val="24"/>
          <w:szCs w:val="24"/>
          <w:lang w:eastAsia="en-SG"/>
        </w:rPr>
        <w:t xml:space="preserve"> Id. at 507.</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[48]</w:t>
      </w:r>
      <w:r w:rsidRPr="005F5F47">
        <w:rPr>
          <w:rFonts w:ascii="Times New Roman" w:eastAsia="Times New Roman" w:hAnsi="Times New Roman" w:cs="Times New Roman"/>
          <w:sz w:val="24"/>
          <w:szCs w:val="24"/>
          <w:lang w:eastAsia="en-SG"/>
        </w:rPr>
        <w:t xml:space="preserve"> Id. at 17.</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[49]</w:t>
      </w:r>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i/>
          <w:iCs/>
          <w:sz w:val="24"/>
          <w:szCs w:val="24"/>
          <w:lang w:eastAsia="en-SG"/>
        </w:rPr>
        <w:t>Araullo</w:t>
      </w:r>
      <w:proofErr w:type="spellEnd"/>
      <w:r w:rsidRPr="005F5F47">
        <w:rPr>
          <w:rFonts w:ascii="Times New Roman" w:eastAsia="Times New Roman" w:hAnsi="Times New Roman" w:cs="Times New Roman"/>
          <w:i/>
          <w:iCs/>
          <w:sz w:val="24"/>
          <w:szCs w:val="24"/>
          <w:lang w:eastAsia="en-SG"/>
        </w:rPr>
        <w:t xml:space="preserve"> v. President </w:t>
      </w:r>
      <w:proofErr w:type="spellStart"/>
      <w:r w:rsidRPr="005F5F47">
        <w:rPr>
          <w:rFonts w:ascii="Times New Roman" w:eastAsia="Times New Roman" w:hAnsi="Times New Roman" w:cs="Times New Roman"/>
          <w:i/>
          <w:iCs/>
          <w:sz w:val="24"/>
          <w:szCs w:val="24"/>
          <w:lang w:eastAsia="en-SG"/>
        </w:rPr>
        <w:t>Benigno</w:t>
      </w:r>
      <w:proofErr w:type="spellEnd"/>
      <w:r w:rsidRPr="005F5F47">
        <w:rPr>
          <w:rFonts w:ascii="Times New Roman" w:eastAsia="Times New Roman" w:hAnsi="Times New Roman" w:cs="Times New Roman"/>
          <w:i/>
          <w:iCs/>
          <w:sz w:val="24"/>
          <w:szCs w:val="24"/>
          <w:lang w:eastAsia="en-SG"/>
        </w:rPr>
        <w:t xml:space="preserve"> S. C. Aquino, III</w:t>
      </w:r>
      <w:r w:rsidRPr="005F5F47">
        <w:rPr>
          <w:rFonts w:ascii="Times New Roman" w:eastAsia="Times New Roman" w:hAnsi="Times New Roman" w:cs="Times New Roman"/>
          <w:sz w:val="24"/>
          <w:szCs w:val="24"/>
          <w:lang w:eastAsia="en-SG"/>
        </w:rPr>
        <w:t>, 737 Phil. 457, 531 (2014). Italicization in the original. Boldfacing added.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lastRenderedPageBreak/>
        <w:t>[50]</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Pilipino Telephone Corporation v. NTC</w:t>
      </w:r>
      <w:r w:rsidRPr="005F5F47">
        <w:rPr>
          <w:rFonts w:ascii="Times New Roman" w:eastAsia="Times New Roman" w:hAnsi="Times New Roman" w:cs="Times New Roman"/>
          <w:sz w:val="24"/>
          <w:szCs w:val="24"/>
          <w:lang w:eastAsia="en-SG"/>
        </w:rPr>
        <w:t xml:space="preserve">, 457 Phil. 101, 113 (2003), citing </w:t>
      </w:r>
      <w:r w:rsidRPr="005F5F47">
        <w:rPr>
          <w:rFonts w:ascii="Times New Roman" w:eastAsia="Times New Roman" w:hAnsi="Times New Roman" w:cs="Times New Roman"/>
          <w:i/>
          <w:iCs/>
          <w:sz w:val="24"/>
          <w:szCs w:val="24"/>
          <w:lang w:eastAsia="en-SG"/>
        </w:rPr>
        <w:t>Benito v. Commission on Elections</w:t>
      </w:r>
      <w:r w:rsidRPr="005F5F47">
        <w:rPr>
          <w:rFonts w:ascii="Times New Roman" w:eastAsia="Times New Roman" w:hAnsi="Times New Roman" w:cs="Times New Roman"/>
          <w:sz w:val="24"/>
          <w:szCs w:val="24"/>
          <w:lang w:eastAsia="en-SG"/>
        </w:rPr>
        <w:t>, 402 Phil. 764 (2001).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[51]</w:t>
      </w:r>
      <w:r w:rsidRPr="005F5F47">
        <w:rPr>
          <w:rFonts w:ascii="Times New Roman" w:eastAsia="Times New Roman" w:hAnsi="Times New Roman" w:cs="Times New Roman"/>
          <w:sz w:val="24"/>
          <w:szCs w:val="24"/>
          <w:lang w:eastAsia="en-SG"/>
        </w:rPr>
        <w:t xml:space="preserve"> Dissenting Opinion, Justice Andres B. Reyes, Jr., pp. 5-7.</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[52]</w:t>
      </w:r>
      <w:r w:rsidRPr="005F5F47">
        <w:rPr>
          <w:rFonts w:ascii="Times New Roman" w:eastAsia="Times New Roman" w:hAnsi="Times New Roman" w:cs="Times New Roman"/>
          <w:sz w:val="24"/>
          <w:szCs w:val="24"/>
          <w:lang w:eastAsia="en-SG"/>
        </w:rPr>
        <w:t xml:space="preserve"> Id. at 7-12.</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[53]</w:t>
      </w:r>
      <w:r w:rsidRPr="005F5F47">
        <w:rPr>
          <w:rFonts w:ascii="Times New Roman" w:eastAsia="Times New Roman" w:hAnsi="Times New Roman" w:cs="Times New Roman"/>
          <w:sz w:val="24"/>
          <w:szCs w:val="24"/>
          <w:lang w:eastAsia="en-SG"/>
        </w:rPr>
        <w:t xml:space="preserve"> Id. at 8-11.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[54]</w:t>
      </w:r>
      <w:r w:rsidRPr="005F5F47">
        <w:rPr>
          <w:rFonts w:ascii="Times New Roman" w:eastAsia="Times New Roman" w:hAnsi="Times New Roman" w:cs="Times New Roman"/>
          <w:sz w:val="24"/>
          <w:szCs w:val="24"/>
          <w:lang w:eastAsia="en-SG"/>
        </w:rPr>
        <w:t xml:space="preserve"> Id. at 9. Emphasis omitted.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[55]</w:t>
      </w:r>
      <w:r w:rsidRPr="005F5F47">
        <w:rPr>
          <w:rFonts w:ascii="Times New Roman" w:eastAsia="Times New Roman" w:hAnsi="Times New Roman" w:cs="Times New Roman"/>
          <w:sz w:val="24"/>
          <w:szCs w:val="24"/>
          <w:lang w:eastAsia="en-SG"/>
        </w:rPr>
        <w:t xml:space="preserve"> Section 1 of Joint Resolution No. 1 reads</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Section 1. Competitive Selection Process. Consistent with their respective mandates, the DOE and ERC recognize that Competitive Selection Process (CSP) in the procurement of PSAs by the DUs engenders transparency, enhances security of supply, and ensures stability of electricity prices to captive electricity end-users in the long-term. Consequently, by agreement of the DOE and ERC, the ERC shall issue the appropriate regulations to implement the same.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[56]</w:t>
      </w:r>
      <w:r w:rsidRPr="005F5F47">
        <w:rPr>
          <w:rFonts w:ascii="Times New Roman" w:eastAsia="Times New Roman" w:hAnsi="Times New Roman" w:cs="Times New Roman"/>
          <w:sz w:val="24"/>
          <w:szCs w:val="24"/>
          <w:lang w:eastAsia="en-SG"/>
        </w:rPr>
        <w:t xml:space="preserve"> Section 38, Republic Act No. 9136.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[57]</w:t>
      </w:r>
      <w:r w:rsidRPr="005F5F47">
        <w:rPr>
          <w:rFonts w:ascii="Times New Roman" w:eastAsia="Times New Roman" w:hAnsi="Times New Roman" w:cs="Times New Roman"/>
          <w:sz w:val="24"/>
          <w:szCs w:val="24"/>
          <w:lang w:eastAsia="en-SG"/>
        </w:rPr>
        <w:t xml:space="preserve"> This provision reads</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Section 2. Declaration of Policy. - It is hereby declared the policy of the State: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(a) To ensure and accelerate the total electrification of the country;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(b) </w:t>
      </w:r>
      <w:r w:rsidRPr="005F5F47">
        <w:rPr>
          <w:rFonts w:ascii="Times New Roman" w:eastAsia="Times New Roman" w:hAnsi="Times New Roman" w:cs="Times New Roman"/>
          <w:b/>
          <w:bCs/>
          <w:sz w:val="24"/>
          <w:szCs w:val="24"/>
          <w:lang w:eastAsia="en-SG"/>
        </w:rPr>
        <w:t>To ensure the quality, reliability, security and affordability of the supply of electric power</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(c) </w:t>
      </w:r>
      <w:r w:rsidRPr="005F5F47">
        <w:rPr>
          <w:rFonts w:ascii="Times New Roman" w:eastAsia="Times New Roman" w:hAnsi="Times New Roman" w:cs="Times New Roman"/>
          <w:b/>
          <w:bCs/>
          <w:sz w:val="24"/>
          <w:szCs w:val="24"/>
          <w:lang w:eastAsia="en-SG"/>
        </w:rPr>
        <w:t>To ensure transparent and reasonable prices of electricity in a regime of free and fair competition and full public accountability to achieve greater operational and economic efficiency and enhance the competitiveness of Philippine products in the global market</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(d) To enhance the inflow of private capital and broaden the ownership base of the power generation, transmission and distribution sectors;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(e) To ensure fair and non-discriminatory treatment of public and private sector entities in the process of restructuring the electric power industry;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(f) </w:t>
      </w:r>
      <w:r w:rsidRPr="005F5F47">
        <w:rPr>
          <w:rFonts w:ascii="Times New Roman" w:eastAsia="Times New Roman" w:hAnsi="Times New Roman" w:cs="Times New Roman"/>
          <w:b/>
          <w:bCs/>
          <w:sz w:val="24"/>
          <w:szCs w:val="24"/>
          <w:lang w:eastAsia="en-SG"/>
        </w:rPr>
        <w:t>To protect the public interest as it is affected by the rates and services of electric utilities and other providers of electric power</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(g) To assure socially and environmentally compatible energy sources and infrastructure;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(h) To promote the utilization of indigenous and new and renewable energy resources in power generation in order to reduce dependence on imported energy;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lastRenderedPageBreak/>
        <w:t>(</w:t>
      </w:r>
      <w:proofErr w:type="spellStart"/>
      <w:r w:rsidRPr="005F5F47">
        <w:rPr>
          <w:rFonts w:ascii="Times New Roman" w:eastAsia="Times New Roman" w:hAnsi="Times New Roman" w:cs="Times New Roman"/>
          <w:sz w:val="24"/>
          <w:szCs w:val="24"/>
          <w:lang w:eastAsia="en-SG"/>
        </w:rPr>
        <w:t>i</w:t>
      </w:r>
      <w:proofErr w:type="spellEnd"/>
      <w:r w:rsidRPr="005F5F47">
        <w:rPr>
          <w:rFonts w:ascii="Times New Roman" w:eastAsia="Times New Roman" w:hAnsi="Times New Roman" w:cs="Times New Roman"/>
          <w:sz w:val="24"/>
          <w:szCs w:val="24"/>
          <w:lang w:eastAsia="en-SG"/>
        </w:rPr>
        <w:t>) To provide for an orderly and transparent privatization of the assets and liabilities of the National Power Corporation (NPC);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(j) To establish a strong and purely independent regulatory body and system to ensure consumer protection and enhance the competitive operation of the electricity market; and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(k) To encourage the efficient use of energy and other modalities of demand side management.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[58]</w:t>
      </w:r>
      <w:r w:rsidRPr="005F5F47">
        <w:rPr>
          <w:rFonts w:ascii="Times New Roman" w:eastAsia="Times New Roman" w:hAnsi="Times New Roman" w:cs="Times New Roman"/>
          <w:sz w:val="24"/>
          <w:szCs w:val="24"/>
          <w:lang w:eastAsia="en-SG"/>
        </w:rPr>
        <w:t xml:space="preserve"> Republic Act No. 9136, Section 37.</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[59]</w:t>
      </w:r>
      <w:r w:rsidRPr="005F5F47">
        <w:rPr>
          <w:rFonts w:ascii="Times New Roman" w:eastAsia="Times New Roman" w:hAnsi="Times New Roman" w:cs="Times New Roman"/>
          <w:sz w:val="24"/>
          <w:szCs w:val="24"/>
          <w:lang w:eastAsia="en-SG"/>
        </w:rPr>
        <w:t xml:space="preserve"> See the complete enumeration of policies in note 57.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[60]</w:t>
      </w:r>
      <w:r w:rsidRPr="005F5F47">
        <w:rPr>
          <w:rFonts w:ascii="Times New Roman" w:eastAsia="Times New Roman" w:hAnsi="Times New Roman" w:cs="Times New Roman"/>
          <w:sz w:val="24"/>
          <w:szCs w:val="24"/>
          <w:lang w:eastAsia="en-SG"/>
        </w:rPr>
        <w:t xml:space="preserve"> 2015 DOE Circular, Second Whereas Clause, par. (d).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[61]</w:t>
      </w:r>
      <w:r w:rsidRPr="005F5F47">
        <w:rPr>
          <w:rFonts w:ascii="Times New Roman" w:eastAsia="Times New Roman" w:hAnsi="Times New Roman" w:cs="Times New Roman"/>
          <w:sz w:val="24"/>
          <w:szCs w:val="24"/>
          <w:lang w:eastAsia="en-SG"/>
        </w:rPr>
        <w:t xml:space="preserve"> 2015 DOE Circular, First Whereas Clause, par. (d).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[62]</w:t>
      </w:r>
      <w:r w:rsidRPr="005F5F47">
        <w:rPr>
          <w:rFonts w:ascii="Times New Roman" w:eastAsia="Times New Roman" w:hAnsi="Times New Roman" w:cs="Times New Roman"/>
          <w:sz w:val="24"/>
          <w:szCs w:val="24"/>
          <w:lang w:eastAsia="en-SG"/>
        </w:rPr>
        <w:t xml:space="preserve"> Republic Act No. 9136, Section 2 (b).</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[63]</w:t>
      </w:r>
      <w:r w:rsidRPr="005F5F47">
        <w:rPr>
          <w:rFonts w:ascii="Times New Roman" w:eastAsia="Times New Roman" w:hAnsi="Times New Roman" w:cs="Times New Roman"/>
          <w:sz w:val="24"/>
          <w:szCs w:val="24"/>
          <w:lang w:eastAsia="en-SG"/>
        </w:rPr>
        <w:t xml:space="preserve"> Republic Act No. 9136, Section 43 (o).</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[64]</w:t>
      </w:r>
      <w:r w:rsidRPr="005F5F47">
        <w:rPr>
          <w:rFonts w:ascii="Times New Roman" w:eastAsia="Times New Roman" w:hAnsi="Times New Roman" w:cs="Times New Roman"/>
          <w:sz w:val="24"/>
          <w:szCs w:val="24"/>
          <w:lang w:eastAsia="en-SG"/>
        </w:rPr>
        <w:t xml:space="preserve"> Republic Act No. 9136, Section 38.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[65]</w:t>
      </w:r>
      <w:r w:rsidRPr="005F5F47">
        <w:rPr>
          <w:rFonts w:ascii="Times New Roman" w:eastAsia="Times New Roman" w:hAnsi="Times New Roman" w:cs="Times New Roman"/>
          <w:sz w:val="24"/>
          <w:szCs w:val="24"/>
          <w:lang w:eastAsia="en-SG"/>
        </w:rPr>
        <w:t xml:space="preserve"> Dissenting Opinion, Justice </w:t>
      </w:r>
      <w:proofErr w:type="spellStart"/>
      <w:r w:rsidRPr="005F5F47">
        <w:rPr>
          <w:rFonts w:ascii="Times New Roman" w:eastAsia="Times New Roman" w:hAnsi="Times New Roman" w:cs="Times New Roman"/>
          <w:sz w:val="24"/>
          <w:szCs w:val="24"/>
          <w:lang w:eastAsia="en-SG"/>
        </w:rPr>
        <w:t>Caguioa</w:t>
      </w:r>
      <w:proofErr w:type="spellEnd"/>
      <w:r w:rsidRPr="005F5F47">
        <w:rPr>
          <w:rFonts w:ascii="Times New Roman" w:eastAsia="Times New Roman" w:hAnsi="Times New Roman" w:cs="Times New Roman"/>
          <w:sz w:val="24"/>
          <w:szCs w:val="24"/>
          <w:lang w:eastAsia="en-SG"/>
        </w:rPr>
        <w:t>, p. 11.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[66]</w:t>
      </w:r>
      <w:r w:rsidRPr="005F5F47">
        <w:rPr>
          <w:rFonts w:ascii="Times New Roman" w:eastAsia="Times New Roman" w:hAnsi="Times New Roman" w:cs="Times New Roman"/>
          <w:sz w:val="24"/>
          <w:szCs w:val="24"/>
          <w:lang w:eastAsia="en-SG"/>
        </w:rPr>
        <w:t xml:space="preserve"> Id. at 12. Emphasis omitted.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[67]</w:t>
      </w:r>
      <w:r w:rsidRPr="005F5F47">
        <w:rPr>
          <w:rFonts w:ascii="Times New Roman" w:eastAsia="Times New Roman" w:hAnsi="Times New Roman" w:cs="Times New Roman"/>
          <w:sz w:val="24"/>
          <w:szCs w:val="24"/>
          <w:lang w:eastAsia="en-SG"/>
        </w:rPr>
        <w:t xml:space="preserve"> Id. at 25. Italicization in the original.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[68]</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[69]</w:t>
      </w:r>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i/>
          <w:iCs/>
          <w:sz w:val="24"/>
          <w:szCs w:val="24"/>
          <w:lang w:eastAsia="en-SG"/>
        </w:rPr>
        <w:t>Victorias</w:t>
      </w:r>
      <w:proofErr w:type="spellEnd"/>
      <w:r w:rsidRPr="005F5F47">
        <w:rPr>
          <w:rFonts w:ascii="Times New Roman" w:eastAsia="Times New Roman" w:hAnsi="Times New Roman" w:cs="Times New Roman"/>
          <w:i/>
          <w:iCs/>
          <w:sz w:val="24"/>
          <w:szCs w:val="24"/>
          <w:lang w:eastAsia="en-SG"/>
        </w:rPr>
        <w:t xml:space="preserve"> Milling Co., Inc. v. Office of the Presidential Assistant for Legal Affairs</w:t>
      </w:r>
      <w:r w:rsidRPr="005F5F47">
        <w:rPr>
          <w:rFonts w:ascii="Times New Roman" w:eastAsia="Times New Roman" w:hAnsi="Times New Roman" w:cs="Times New Roman"/>
          <w:sz w:val="24"/>
          <w:szCs w:val="24"/>
          <w:lang w:eastAsia="en-SG"/>
        </w:rPr>
        <w:t>, 237 Phil. 306 (1987).</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[70]</w:t>
      </w:r>
      <w:r w:rsidRPr="005F5F47">
        <w:rPr>
          <w:rFonts w:ascii="Times New Roman" w:eastAsia="Times New Roman" w:hAnsi="Times New Roman" w:cs="Times New Roman"/>
          <w:sz w:val="24"/>
          <w:szCs w:val="24"/>
          <w:lang w:eastAsia="en-SG"/>
        </w:rPr>
        <w:t xml:space="preserve"> Section 37 of the EPIRA reads</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SEC. 37. </w:t>
      </w:r>
      <w:r w:rsidRPr="005F5F47">
        <w:rPr>
          <w:rFonts w:ascii="Times New Roman" w:eastAsia="Times New Roman" w:hAnsi="Times New Roman" w:cs="Times New Roman"/>
          <w:i/>
          <w:iCs/>
          <w:sz w:val="24"/>
          <w:szCs w:val="24"/>
          <w:lang w:eastAsia="en-SG"/>
        </w:rPr>
        <w:t>Powers and Functions of the DOE</w:t>
      </w:r>
      <w:r w:rsidRPr="005F5F47">
        <w:rPr>
          <w:rFonts w:ascii="Times New Roman" w:eastAsia="Times New Roman" w:hAnsi="Times New Roman" w:cs="Times New Roman"/>
          <w:sz w:val="24"/>
          <w:szCs w:val="24"/>
          <w:lang w:eastAsia="en-SG"/>
        </w:rPr>
        <w:t>. — In addition to its existing powers and functions, the DOE is hereby mandated to supervise the restructuring of the electricity industry. In pursuance thereof, Section 5 of Republic Act No. 7638, otherwise known as "The Department of Energy Act of 1992," is hereby amended to read as follows: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(a) Formulate policies for the planning and implementation of a comprehensive program for the efficient supply and economical use of energy consistent with the approved national economic plan and with the policies on environmental protection and conservation and maintenance of ecological balance, and provide a mechanism for the integration, rationalization, and coordination of the various energy programs of the Government;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(b) Develop and update annually the existing Philippine Energy Plan, hereinafter referred to as 'The Plan', which shall provide for an integrated and comprehensive exploration, development, utilization, distribution, and conservation of energy resources, with preferential </w:t>
      </w:r>
      <w:r w:rsidRPr="005F5F47">
        <w:rPr>
          <w:rFonts w:ascii="Times New Roman" w:eastAsia="Times New Roman" w:hAnsi="Times New Roman" w:cs="Times New Roman"/>
          <w:sz w:val="24"/>
          <w:szCs w:val="24"/>
          <w:lang w:eastAsia="en-SG"/>
        </w:rPr>
        <w:lastRenderedPageBreak/>
        <w:t>bias for environment-friendly, indigenous, and low-cost sources of energy. The plan shall include a policy direction towards the privatization of government agencies related to energy, deregulation of the power and energy industry, and reduction of dependency on oil-fired plants. Said Plan shall be submitted to Congress not later than the fifteenth day of September and every year thereafter</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(c) Prepare and update annually a Power Development Program (PDP) and integrate the same into the Philippine Energy Plan. The PDP shall consider and integrate the individual or joint development plans of the transmission, generation, and distribution sectors of the electric power industry, which are submitted to the Department: Provided, however, That the ERC shall have exclusive authority covering the Grid Code and the pertinent rules and regulations it may issue;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(d) Ensure the reliability, quality and security of supply of electric power;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(e) Following the restructuring of the electricity sector, the DOE shall, among others: </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w:t>
      </w:r>
      <w:proofErr w:type="spellStart"/>
      <w:r w:rsidRPr="005F5F47">
        <w:rPr>
          <w:rFonts w:ascii="Times New Roman" w:eastAsia="Times New Roman" w:hAnsi="Times New Roman" w:cs="Times New Roman"/>
          <w:sz w:val="24"/>
          <w:szCs w:val="24"/>
          <w:lang w:eastAsia="en-SG"/>
        </w:rPr>
        <w:t>i</w:t>
      </w:r>
      <w:proofErr w:type="spellEnd"/>
      <w:r w:rsidRPr="005F5F47">
        <w:rPr>
          <w:rFonts w:ascii="Times New Roman" w:eastAsia="Times New Roman" w:hAnsi="Times New Roman" w:cs="Times New Roman"/>
          <w:sz w:val="24"/>
          <w:szCs w:val="24"/>
          <w:lang w:eastAsia="en-SG"/>
        </w:rPr>
        <w:t>) Encourage private sector investments in the electricity sector and promote development of indigenous and renewable energy sources;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(ii) Facilitate and encourage reforms in the structure and operations of distribution utilities for greater efficiency and lower costs;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(iii) In consultation with other government agencies, promote a system of incentives to encourage industry participants, including new generating companies and end-users to provide adequate and reliable electric supply; and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(iv) Undertake in coordination with the ERC, NPC, NEA and the Philippine Information Agency (PIA), information campaign to educate the public on the restructuring of the electricity sector and privatization of NPC assets.</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(f) Jointly with the electric power industry participants, establish the wholesale electricity spot market and formulate the detailed rules governing the operations thereof;</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(g) Establish and administer programs for the exploration, transportation, marketing, distribution, utilization, conservation, stockpiling, and storage of energy resources of all forms, whether conventional or non-conventional;</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(h) Exercise supervision and control over all government activities relative to energy projects in order to attain the goals embodied in Section 2 of RA 7638;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w:t>
      </w:r>
      <w:proofErr w:type="spellStart"/>
      <w:r w:rsidRPr="005F5F47">
        <w:rPr>
          <w:rFonts w:ascii="Times New Roman" w:eastAsia="Times New Roman" w:hAnsi="Times New Roman" w:cs="Times New Roman"/>
          <w:sz w:val="24"/>
          <w:szCs w:val="24"/>
          <w:lang w:eastAsia="en-SG"/>
        </w:rPr>
        <w:t>i</w:t>
      </w:r>
      <w:proofErr w:type="spellEnd"/>
      <w:r w:rsidRPr="005F5F47">
        <w:rPr>
          <w:rFonts w:ascii="Times New Roman" w:eastAsia="Times New Roman" w:hAnsi="Times New Roman" w:cs="Times New Roman"/>
          <w:sz w:val="24"/>
          <w:szCs w:val="24"/>
          <w:lang w:eastAsia="en-SG"/>
        </w:rPr>
        <w:t>) Develop policies and procedures and, as appropriate, promote a system of energy development incentives to enable and encourage electric power industry participants to provide adequate capacity to meet demand including, among others, reserve requirements;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(j) Monitor private sector activities relative to energy projects in order to attain the goals of the restructuring, privatization, and modernization of the electric power sector as provided for under existing laws: </w:t>
      </w:r>
      <w:r w:rsidRPr="005F5F47">
        <w:rPr>
          <w:rFonts w:ascii="Times New Roman" w:eastAsia="Times New Roman" w:hAnsi="Times New Roman" w:cs="Times New Roman"/>
          <w:i/>
          <w:iCs/>
          <w:sz w:val="24"/>
          <w:szCs w:val="24"/>
          <w:lang w:eastAsia="en-SG"/>
        </w:rPr>
        <w:t>Provided</w:t>
      </w:r>
      <w:r w:rsidRPr="005F5F47">
        <w:rPr>
          <w:rFonts w:ascii="Times New Roman" w:eastAsia="Times New Roman" w:hAnsi="Times New Roman" w:cs="Times New Roman"/>
          <w:sz w:val="24"/>
          <w:szCs w:val="24"/>
          <w:lang w:eastAsia="en-SG"/>
        </w:rPr>
        <w:t xml:space="preserve">, That the Department shall </w:t>
      </w:r>
      <w:proofErr w:type="spellStart"/>
      <w:r w:rsidRPr="005F5F47">
        <w:rPr>
          <w:rFonts w:ascii="Times New Roman" w:eastAsia="Times New Roman" w:hAnsi="Times New Roman" w:cs="Times New Roman"/>
          <w:sz w:val="24"/>
          <w:szCs w:val="24"/>
          <w:lang w:eastAsia="en-SG"/>
        </w:rPr>
        <w:t>endeavor</w:t>
      </w:r>
      <w:proofErr w:type="spellEnd"/>
      <w:r w:rsidRPr="005F5F47">
        <w:rPr>
          <w:rFonts w:ascii="Times New Roman" w:eastAsia="Times New Roman" w:hAnsi="Times New Roman" w:cs="Times New Roman"/>
          <w:sz w:val="24"/>
          <w:szCs w:val="24"/>
          <w:lang w:eastAsia="en-SG"/>
        </w:rPr>
        <w:t xml:space="preserve"> to provide for an environment conducive to free and active private sector participation and investment in all energy activities;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(k) Assess the requirements of, determine priorities for, provide direction to, and disseminate </w:t>
      </w:r>
      <w:r w:rsidRPr="005F5F47">
        <w:rPr>
          <w:rFonts w:ascii="Times New Roman" w:eastAsia="Times New Roman" w:hAnsi="Times New Roman" w:cs="Times New Roman"/>
          <w:sz w:val="24"/>
          <w:szCs w:val="24"/>
          <w:lang w:eastAsia="en-SG"/>
        </w:rPr>
        <w:lastRenderedPageBreak/>
        <w:t>information resulting from energy research and development programs for the optimal development of various forms of energy production and utilization technologies; (1) Formulate and implement programs, including a system of providing incentives and penalties, for the judicious and efficient use of energy in all energy-consuming sectors of the economy;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(m) Formulate and implement a program for the accelerated development of non-conventional energy systems and the promotion and commercialization of its applications;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(n) Devise ways and means of giving direct benefit to the province, city, or municipality, especially the community and people affected, and equitable preferential benefit to the region that hosts the energy resource and/or the energy-generating facility: </w:t>
      </w:r>
      <w:r w:rsidRPr="005F5F47">
        <w:rPr>
          <w:rFonts w:ascii="Times New Roman" w:eastAsia="Times New Roman" w:hAnsi="Times New Roman" w:cs="Times New Roman"/>
          <w:i/>
          <w:iCs/>
          <w:sz w:val="24"/>
          <w:szCs w:val="24"/>
          <w:lang w:eastAsia="en-SG"/>
        </w:rPr>
        <w:t>Provided, however</w:t>
      </w:r>
      <w:r w:rsidRPr="005F5F47">
        <w:rPr>
          <w:rFonts w:ascii="Times New Roman" w:eastAsia="Times New Roman" w:hAnsi="Times New Roman" w:cs="Times New Roman"/>
          <w:sz w:val="24"/>
          <w:szCs w:val="24"/>
          <w:lang w:eastAsia="en-SG"/>
        </w:rPr>
        <w:t>, That the other provinces, cities, municipalities, or regions shall not be deprived of their energy requirements;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(o) Encourage private enterprises engaged in energy projects, including corporations, cooperatives, and similar collective organizations, to broaden the base of their ownership and thereby encourage the widest public ownership of energy-oriented corporations;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(p) Formulate such rules and regulations as may be necessary to implement the objectives of this Act; and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(q) Exercise such other powers as may be necessary or incidental to attain the objectives of this Act.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[71]</w:t>
      </w:r>
      <w:r w:rsidRPr="005F5F47">
        <w:rPr>
          <w:rFonts w:ascii="Times New Roman" w:eastAsia="Times New Roman" w:hAnsi="Times New Roman" w:cs="Times New Roman"/>
          <w:sz w:val="24"/>
          <w:szCs w:val="24"/>
          <w:lang w:eastAsia="en-SG"/>
        </w:rPr>
        <w:t xml:space="preserve"> 2015 DOE Circular, Second Whereas Clause, par. (d)</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[72]</w:t>
      </w:r>
      <w:r w:rsidRPr="005F5F47">
        <w:rPr>
          <w:rFonts w:ascii="Times New Roman" w:eastAsia="Times New Roman" w:hAnsi="Times New Roman" w:cs="Times New Roman"/>
          <w:sz w:val="24"/>
          <w:szCs w:val="24"/>
          <w:lang w:eastAsia="en-SG"/>
        </w:rPr>
        <w:t xml:space="preserve"> 2015 DOE Circular, First Whereas Clause, par. (d)</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[73]</w:t>
      </w:r>
      <w:r w:rsidRPr="005F5F47">
        <w:rPr>
          <w:rFonts w:ascii="Times New Roman" w:eastAsia="Times New Roman" w:hAnsi="Times New Roman" w:cs="Times New Roman"/>
          <w:sz w:val="24"/>
          <w:szCs w:val="24"/>
          <w:lang w:eastAsia="en-SG"/>
        </w:rPr>
        <w:t xml:space="preserve"> 2015 DOE Circular, Third Whereas Clause.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[74]</w:t>
      </w:r>
      <w:r w:rsidRPr="005F5F47">
        <w:rPr>
          <w:rFonts w:ascii="Times New Roman" w:eastAsia="Times New Roman" w:hAnsi="Times New Roman" w:cs="Times New Roman"/>
          <w:sz w:val="24"/>
          <w:szCs w:val="24"/>
          <w:lang w:eastAsia="en-SG"/>
        </w:rPr>
        <w:t xml:space="preserve"> </w:t>
      </w:r>
      <w:hyperlink r:id="rId8" w:history="1">
        <w:r w:rsidRPr="005F5F47">
          <w:rPr>
            <w:rFonts w:ascii="Times New Roman" w:eastAsia="Times New Roman" w:hAnsi="Times New Roman" w:cs="Times New Roman"/>
            <w:color w:val="0000FF"/>
            <w:sz w:val="24"/>
            <w:szCs w:val="24"/>
            <w:u w:val="single"/>
            <w:lang w:eastAsia="en-SG"/>
          </w:rPr>
          <w:t>http://www.nea.gov.ph/nea-ec-legal-conclave?download=1510%3Adoe-circular-no.-dc-2015-06-000-mandating-all-dus-to-undergo-competitive-selection-process-in-securing-psa</w:t>
        </w:r>
      </w:hyperlink>
      <w:r w:rsidRPr="005F5F47">
        <w:rPr>
          <w:rFonts w:ascii="Times New Roman" w:eastAsia="Times New Roman" w:hAnsi="Times New Roman" w:cs="Times New Roman"/>
          <w:sz w:val="24"/>
          <w:szCs w:val="24"/>
          <w:lang w:eastAsia="en-SG"/>
        </w:rPr>
        <w:t xml:space="preserve"> (Accessed 1 July 2018).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[75]</w:t>
      </w:r>
      <w:r w:rsidRPr="005F5F47">
        <w:rPr>
          <w:rFonts w:ascii="Times New Roman" w:eastAsia="Times New Roman" w:hAnsi="Times New Roman" w:cs="Times New Roman"/>
          <w:sz w:val="24"/>
          <w:szCs w:val="24"/>
          <w:lang w:eastAsia="en-SG"/>
        </w:rPr>
        <w:t xml:space="preserve"> 2015 DOE Circular, Section 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[76]</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Rollo</w:t>
      </w:r>
      <w:r w:rsidRPr="005F5F47">
        <w:rPr>
          <w:rFonts w:ascii="Times New Roman" w:eastAsia="Times New Roman" w:hAnsi="Times New Roman" w:cs="Times New Roman"/>
          <w:sz w:val="24"/>
          <w:szCs w:val="24"/>
          <w:lang w:eastAsia="en-SG"/>
        </w:rPr>
        <w:t xml:space="preserve">, pp. 1140-1152. Filed by the DOE's Assistant Secretary Gerardo D. </w:t>
      </w:r>
      <w:proofErr w:type="spellStart"/>
      <w:r w:rsidRPr="005F5F47">
        <w:rPr>
          <w:rFonts w:ascii="Times New Roman" w:eastAsia="Times New Roman" w:hAnsi="Times New Roman" w:cs="Times New Roman"/>
          <w:sz w:val="24"/>
          <w:szCs w:val="24"/>
          <w:lang w:eastAsia="en-SG"/>
        </w:rPr>
        <w:t>Erguiza</w:t>
      </w:r>
      <w:proofErr w:type="spellEnd"/>
      <w:r w:rsidRPr="005F5F47">
        <w:rPr>
          <w:rFonts w:ascii="Times New Roman" w:eastAsia="Times New Roman" w:hAnsi="Times New Roman" w:cs="Times New Roman"/>
          <w:sz w:val="24"/>
          <w:szCs w:val="24"/>
          <w:lang w:eastAsia="en-SG"/>
        </w:rPr>
        <w:t xml:space="preserve">, Jr., Assistant Secretary Caron </w:t>
      </w:r>
      <w:proofErr w:type="spellStart"/>
      <w:r w:rsidRPr="005F5F47">
        <w:rPr>
          <w:rFonts w:ascii="Times New Roman" w:eastAsia="Times New Roman" w:hAnsi="Times New Roman" w:cs="Times New Roman"/>
          <w:sz w:val="24"/>
          <w:szCs w:val="24"/>
          <w:lang w:eastAsia="en-SG"/>
        </w:rPr>
        <w:t>Aicitel</w:t>
      </w:r>
      <w:proofErr w:type="spellEnd"/>
      <w:r w:rsidRPr="005F5F47">
        <w:rPr>
          <w:rFonts w:ascii="Times New Roman" w:eastAsia="Times New Roman" w:hAnsi="Times New Roman" w:cs="Times New Roman"/>
          <w:sz w:val="24"/>
          <w:szCs w:val="24"/>
          <w:lang w:eastAsia="en-SG"/>
        </w:rPr>
        <w:t xml:space="preserve"> E. </w:t>
      </w:r>
      <w:proofErr w:type="spellStart"/>
      <w:r w:rsidRPr="005F5F47">
        <w:rPr>
          <w:rFonts w:ascii="Times New Roman" w:eastAsia="Times New Roman" w:hAnsi="Times New Roman" w:cs="Times New Roman"/>
          <w:sz w:val="24"/>
          <w:szCs w:val="24"/>
          <w:lang w:eastAsia="en-SG"/>
        </w:rPr>
        <w:t>Lascano</w:t>
      </w:r>
      <w:proofErr w:type="spellEnd"/>
      <w:r w:rsidRPr="005F5F47">
        <w:rPr>
          <w:rFonts w:ascii="Times New Roman" w:eastAsia="Times New Roman" w:hAnsi="Times New Roman" w:cs="Times New Roman"/>
          <w:sz w:val="24"/>
          <w:szCs w:val="24"/>
          <w:lang w:eastAsia="en-SG"/>
        </w:rPr>
        <w:t xml:space="preserve">, and Director III-Legal Services </w:t>
      </w:r>
      <w:proofErr w:type="spellStart"/>
      <w:r w:rsidRPr="005F5F47">
        <w:rPr>
          <w:rFonts w:ascii="Times New Roman" w:eastAsia="Times New Roman" w:hAnsi="Times New Roman" w:cs="Times New Roman"/>
          <w:sz w:val="24"/>
          <w:szCs w:val="24"/>
          <w:lang w:eastAsia="en-SG"/>
        </w:rPr>
        <w:t>Arthus</w:t>
      </w:r>
      <w:proofErr w:type="spellEnd"/>
      <w:r w:rsidRPr="005F5F47">
        <w:rPr>
          <w:rFonts w:ascii="Times New Roman" w:eastAsia="Times New Roman" w:hAnsi="Times New Roman" w:cs="Times New Roman"/>
          <w:sz w:val="24"/>
          <w:szCs w:val="24"/>
          <w:lang w:eastAsia="en-SG"/>
        </w:rPr>
        <w:t xml:space="preserve"> T. </w:t>
      </w:r>
      <w:proofErr w:type="spellStart"/>
      <w:r w:rsidRPr="005F5F47">
        <w:rPr>
          <w:rFonts w:ascii="Times New Roman" w:eastAsia="Times New Roman" w:hAnsi="Times New Roman" w:cs="Times New Roman"/>
          <w:sz w:val="24"/>
          <w:szCs w:val="24"/>
          <w:lang w:eastAsia="en-SG"/>
        </w:rPr>
        <w:t>Tenazas</w:t>
      </w:r>
      <w:proofErr w:type="spellEnd"/>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[77]</w:t>
      </w:r>
      <w:r w:rsidRPr="005F5F47">
        <w:rPr>
          <w:rFonts w:ascii="Times New Roman" w:eastAsia="Times New Roman" w:hAnsi="Times New Roman" w:cs="Times New Roman"/>
          <w:sz w:val="24"/>
          <w:szCs w:val="24"/>
          <w:lang w:eastAsia="en-SG"/>
        </w:rPr>
        <w:t xml:space="preserve"> Id. at 1145.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[78]</w:t>
      </w:r>
      <w:r w:rsidRPr="005F5F47">
        <w:rPr>
          <w:rFonts w:ascii="Times New Roman" w:eastAsia="Times New Roman" w:hAnsi="Times New Roman" w:cs="Times New Roman"/>
          <w:sz w:val="24"/>
          <w:szCs w:val="24"/>
          <w:lang w:eastAsia="en-SG"/>
        </w:rPr>
        <w:t xml:space="preserve"> Id. at 1175-1234. Filed by the Office of the Solicitor General, and signed by Solicitor General Jose C. </w:t>
      </w:r>
      <w:proofErr w:type="spellStart"/>
      <w:r w:rsidRPr="005F5F47">
        <w:rPr>
          <w:rFonts w:ascii="Times New Roman" w:eastAsia="Times New Roman" w:hAnsi="Times New Roman" w:cs="Times New Roman"/>
          <w:sz w:val="24"/>
          <w:szCs w:val="24"/>
          <w:lang w:eastAsia="en-SG"/>
        </w:rPr>
        <w:t>Calida</w:t>
      </w:r>
      <w:proofErr w:type="spellEnd"/>
      <w:r w:rsidRPr="005F5F47">
        <w:rPr>
          <w:rFonts w:ascii="Times New Roman" w:eastAsia="Times New Roman" w:hAnsi="Times New Roman" w:cs="Times New Roman"/>
          <w:sz w:val="24"/>
          <w:szCs w:val="24"/>
          <w:lang w:eastAsia="en-SG"/>
        </w:rPr>
        <w:t xml:space="preserve">, Assistant Solicitors General </w:t>
      </w:r>
      <w:proofErr w:type="spellStart"/>
      <w:r w:rsidRPr="005F5F47">
        <w:rPr>
          <w:rFonts w:ascii="Times New Roman" w:eastAsia="Times New Roman" w:hAnsi="Times New Roman" w:cs="Times New Roman"/>
          <w:sz w:val="24"/>
          <w:szCs w:val="24"/>
          <w:lang w:eastAsia="en-SG"/>
        </w:rPr>
        <w:t>Raymund</w:t>
      </w:r>
      <w:proofErr w:type="spellEnd"/>
      <w:r w:rsidRPr="005F5F47">
        <w:rPr>
          <w:rFonts w:ascii="Times New Roman" w:eastAsia="Times New Roman" w:hAnsi="Times New Roman" w:cs="Times New Roman"/>
          <w:sz w:val="24"/>
          <w:szCs w:val="24"/>
          <w:lang w:eastAsia="en-SG"/>
        </w:rPr>
        <w:t xml:space="preserve"> I. </w:t>
      </w:r>
      <w:proofErr w:type="spellStart"/>
      <w:r w:rsidRPr="005F5F47">
        <w:rPr>
          <w:rFonts w:ascii="Times New Roman" w:eastAsia="Times New Roman" w:hAnsi="Times New Roman" w:cs="Times New Roman"/>
          <w:sz w:val="24"/>
          <w:szCs w:val="24"/>
          <w:lang w:eastAsia="en-SG"/>
        </w:rPr>
        <w:t>Rigodon</w:t>
      </w:r>
      <w:proofErr w:type="spellEnd"/>
      <w:r w:rsidRPr="005F5F47">
        <w:rPr>
          <w:rFonts w:ascii="Times New Roman" w:eastAsia="Times New Roman" w:hAnsi="Times New Roman" w:cs="Times New Roman"/>
          <w:sz w:val="24"/>
          <w:szCs w:val="24"/>
          <w:lang w:eastAsia="en-SG"/>
        </w:rPr>
        <w:t xml:space="preserve"> and Henry S. Angeles, State Solicitor Lawrence Martin A. </w:t>
      </w:r>
      <w:proofErr w:type="spellStart"/>
      <w:r w:rsidRPr="005F5F47">
        <w:rPr>
          <w:rFonts w:ascii="Times New Roman" w:eastAsia="Times New Roman" w:hAnsi="Times New Roman" w:cs="Times New Roman"/>
          <w:sz w:val="24"/>
          <w:szCs w:val="24"/>
          <w:lang w:eastAsia="en-SG"/>
        </w:rPr>
        <w:t>Albar</w:t>
      </w:r>
      <w:proofErr w:type="spellEnd"/>
      <w:r w:rsidRPr="005F5F47">
        <w:rPr>
          <w:rFonts w:ascii="Times New Roman" w:eastAsia="Times New Roman" w:hAnsi="Times New Roman" w:cs="Times New Roman"/>
          <w:sz w:val="24"/>
          <w:szCs w:val="24"/>
          <w:lang w:eastAsia="en-SG"/>
        </w:rPr>
        <w:t xml:space="preserve">, and Associate Solicitors Jose Angelo A. David, </w:t>
      </w:r>
      <w:proofErr w:type="spellStart"/>
      <w:r w:rsidRPr="005F5F47">
        <w:rPr>
          <w:rFonts w:ascii="Times New Roman" w:eastAsia="Times New Roman" w:hAnsi="Times New Roman" w:cs="Times New Roman"/>
          <w:sz w:val="24"/>
          <w:szCs w:val="24"/>
          <w:lang w:eastAsia="en-SG"/>
        </w:rPr>
        <w:t>Lilibeth</w:t>
      </w:r>
      <w:proofErr w:type="spellEnd"/>
      <w:r w:rsidRPr="005F5F47">
        <w:rPr>
          <w:rFonts w:ascii="Times New Roman" w:eastAsia="Times New Roman" w:hAnsi="Times New Roman" w:cs="Times New Roman"/>
          <w:sz w:val="24"/>
          <w:szCs w:val="24"/>
          <w:lang w:eastAsia="en-SG"/>
        </w:rPr>
        <w:t xml:space="preserve"> C. Perez-De Guzman, Maria Cristina T. </w:t>
      </w:r>
      <w:proofErr w:type="spellStart"/>
      <w:r w:rsidRPr="005F5F47">
        <w:rPr>
          <w:rFonts w:ascii="Times New Roman" w:eastAsia="Times New Roman" w:hAnsi="Times New Roman" w:cs="Times New Roman"/>
          <w:sz w:val="24"/>
          <w:szCs w:val="24"/>
          <w:lang w:eastAsia="en-SG"/>
        </w:rPr>
        <w:t>Mundin</w:t>
      </w:r>
      <w:proofErr w:type="spellEnd"/>
      <w:r w:rsidRPr="005F5F47">
        <w:rPr>
          <w:rFonts w:ascii="Times New Roman" w:eastAsia="Times New Roman" w:hAnsi="Times New Roman" w:cs="Times New Roman"/>
          <w:sz w:val="24"/>
          <w:szCs w:val="24"/>
          <w:lang w:eastAsia="en-SG"/>
        </w:rPr>
        <w:t>, and Patricia Anne D. Sta. Maria.</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[79]</w:t>
      </w:r>
      <w:r w:rsidRPr="005F5F47">
        <w:rPr>
          <w:rFonts w:ascii="Times New Roman" w:eastAsia="Times New Roman" w:hAnsi="Times New Roman" w:cs="Times New Roman"/>
          <w:sz w:val="24"/>
          <w:szCs w:val="24"/>
          <w:lang w:eastAsia="en-SG"/>
        </w:rPr>
        <w:t xml:space="preserve"> Id. at 1193.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lastRenderedPageBreak/>
        <w:br/>
      </w:r>
      <w:r w:rsidRPr="005F5F47">
        <w:rPr>
          <w:rFonts w:ascii="Times New Roman" w:eastAsia="Times New Roman" w:hAnsi="Times New Roman" w:cs="Times New Roman"/>
          <w:color w:val="FF0000"/>
          <w:sz w:val="24"/>
          <w:szCs w:val="24"/>
          <w:vertAlign w:val="superscript"/>
          <w:lang w:eastAsia="en-SG"/>
        </w:rPr>
        <w:t>[80]</w:t>
      </w:r>
      <w:r w:rsidRPr="005F5F47">
        <w:rPr>
          <w:rFonts w:ascii="Times New Roman" w:eastAsia="Times New Roman" w:hAnsi="Times New Roman" w:cs="Times New Roman"/>
          <w:sz w:val="24"/>
          <w:szCs w:val="24"/>
          <w:lang w:eastAsia="en-SG"/>
        </w:rPr>
        <w:t xml:space="preserve"> Dissenting Opinion, Justice A. B. Reyes, Jr., p. 5.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[81]</w:t>
      </w:r>
      <w:r w:rsidRPr="005F5F47">
        <w:rPr>
          <w:rFonts w:ascii="Times New Roman" w:eastAsia="Times New Roman" w:hAnsi="Times New Roman" w:cs="Times New Roman"/>
          <w:sz w:val="24"/>
          <w:szCs w:val="24"/>
          <w:lang w:eastAsia="en-SG"/>
        </w:rPr>
        <w:t xml:space="preserve"> Dissenting Opinion, Justice </w:t>
      </w:r>
      <w:proofErr w:type="spellStart"/>
      <w:r w:rsidRPr="005F5F47">
        <w:rPr>
          <w:rFonts w:ascii="Times New Roman" w:eastAsia="Times New Roman" w:hAnsi="Times New Roman" w:cs="Times New Roman"/>
          <w:sz w:val="24"/>
          <w:szCs w:val="24"/>
          <w:lang w:eastAsia="en-SG"/>
        </w:rPr>
        <w:t>Caguioa</w:t>
      </w:r>
      <w:proofErr w:type="spellEnd"/>
      <w:r w:rsidRPr="005F5F47">
        <w:rPr>
          <w:rFonts w:ascii="Times New Roman" w:eastAsia="Times New Roman" w:hAnsi="Times New Roman" w:cs="Times New Roman"/>
          <w:sz w:val="24"/>
          <w:szCs w:val="24"/>
          <w:lang w:eastAsia="en-SG"/>
        </w:rPr>
        <w:t xml:space="preserve">, p. 32.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[82]</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Rollo</w:t>
      </w:r>
      <w:r w:rsidRPr="005F5F47">
        <w:rPr>
          <w:rFonts w:ascii="Times New Roman" w:eastAsia="Times New Roman" w:hAnsi="Times New Roman" w:cs="Times New Roman"/>
          <w:sz w:val="24"/>
          <w:szCs w:val="24"/>
          <w:lang w:eastAsia="en-SG"/>
        </w:rPr>
        <w:t xml:space="preserve">, p. 1516. The letter reads: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18 January 2016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HON. JOSE VICENTE B. SALAZAR</w:t>
      </w:r>
      <w:r w:rsidRPr="005F5F47">
        <w:rPr>
          <w:rFonts w:ascii="Times New Roman" w:eastAsia="Times New Roman" w:hAnsi="Times New Roman" w:cs="Times New Roman"/>
          <w:sz w:val="24"/>
          <w:szCs w:val="24"/>
          <w:lang w:eastAsia="en-SG"/>
        </w:rPr>
        <w:br/>
        <w:t>Chairman</w:t>
      </w:r>
      <w:r w:rsidRPr="005F5F47">
        <w:rPr>
          <w:rFonts w:ascii="Times New Roman" w:eastAsia="Times New Roman" w:hAnsi="Times New Roman" w:cs="Times New Roman"/>
          <w:sz w:val="24"/>
          <w:szCs w:val="24"/>
          <w:lang w:eastAsia="en-SG"/>
        </w:rPr>
        <w:br/>
        <w:t>ENERGY REGULATORY COMMISSION</w:t>
      </w:r>
      <w:r w:rsidRPr="005F5F47">
        <w:rPr>
          <w:rFonts w:ascii="Times New Roman" w:eastAsia="Times New Roman" w:hAnsi="Times New Roman" w:cs="Times New Roman"/>
          <w:sz w:val="24"/>
          <w:szCs w:val="24"/>
          <w:lang w:eastAsia="en-SG"/>
        </w:rPr>
        <w:br/>
        <w:t xml:space="preserve">Pacific </w:t>
      </w:r>
      <w:proofErr w:type="spellStart"/>
      <w:r w:rsidRPr="005F5F47">
        <w:rPr>
          <w:rFonts w:ascii="Times New Roman" w:eastAsia="Times New Roman" w:hAnsi="Times New Roman" w:cs="Times New Roman"/>
          <w:sz w:val="24"/>
          <w:szCs w:val="24"/>
          <w:lang w:eastAsia="en-SG"/>
        </w:rPr>
        <w:t>Center</w:t>
      </w:r>
      <w:proofErr w:type="spellEnd"/>
      <w:r w:rsidRPr="005F5F47">
        <w:rPr>
          <w:rFonts w:ascii="Times New Roman" w:eastAsia="Times New Roman" w:hAnsi="Times New Roman" w:cs="Times New Roman"/>
          <w:sz w:val="24"/>
          <w:szCs w:val="24"/>
          <w:lang w:eastAsia="en-SG"/>
        </w:rPr>
        <w:t xml:space="preserve"> Building, San Miguel Avenue,</w:t>
      </w:r>
      <w:r w:rsidRPr="005F5F47">
        <w:rPr>
          <w:rFonts w:ascii="Times New Roman" w:eastAsia="Times New Roman" w:hAnsi="Times New Roman" w:cs="Times New Roman"/>
          <w:sz w:val="24"/>
          <w:szCs w:val="24"/>
          <w:lang w:eastAsia="en-SG"/>
        </w:rPr>
        <w:br/>
      </w:r>
      <w:proofErr w:type="spellStart"/>
      <w:r w:rsidRPr="005F5F47">
        <w:rPr>
          <w:rFonts w:ascii="Times New Roman" w:eastAsia="Times New Roman" w:hAnsi="Times New Roman" w:cs="Times New Roman"/>
          <w:sz w:val="24"/>
          <w:szCs w:val="24"/>
          <w:lang w:eastAsia="en-SG"/>
        </w:rPr>
        <w:t>Ortigas</w:t>
      </w:r>
      <w:proofErr w:type="spellEnd"/>
      <w:r w:rsidRPr="005F5F47">
        <w:rPr>
          <w:rFonts w:ascii="Times New Roman" w:eastAsia="Times New Roman" w:hAnsi="Times New Roman" w:cs="Times New Roman"/>
          <w:sz w:val="24"/>
          <w:szCs w:val="24"/>
          <w:lang w:eastAsia="en-SG"/>
        </w:rPr>
        <w:t xml:space="preserve"> Avenue, 1500 Pasig City, Metro Manila</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Subject: </w:t>
      </w:r>
      <w:r w:rsidRPr="005F5F47">
        <w:rPr>
          <w:rFonts w:ascii="Times New Roman" w:eastAsia="Times New Roman" w:hAnsi="Times New Roman" w:cs="Times New Roman"/>
          <w:sz w:val="24"/>
          <w:szCs w:val="24"/>
          <w:u w:val="single"/>
          <w:lang w:eastAsia="en-SG"/>
        </w:rPr>
        <w:t>ABRECO'S Interim Power Supply Requirement</w:t>
      </w:r>
    </w:p>
    <w:p w:rsidR="005F5F47" w:rsidRPr="005F5F47" w:rsidRDefault="005F5F47" w:rsidP="005F5F47">
      <w:pPr>
        <w:spacing w:after="24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Dear Chairman Salazar</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We refer to the attached communication we received from the </w:t>
      </w:r>
      <w:proofErr w:type="spellStart"/>
      <w:r w:rsidRPr="005F5F47">
        <w:rPr>
          <w:rFonts w:ascii="Times New Roman" w:eastAsia="Times New Roman" w:hAnsi="Times New Roman" w:cs="Times New Roman"/>
          <w:sz w:val="24"/>
          <w:szCs w:val="24"/>
          <w:lang w:eastAsia="en-SG"/>
        </w:rPr>
        <w:t>Abra</w:t>
      </w:r>
      <w:proofErr w:type="spellEnd"/>
      <w:r w:rsidRPr="005F5F47">
        <w:rPr>
          <w:rFonts w:ascii="Times New Roman" w:eastAsia="Times New Roman" w:hAnsi="Times New Roman" w:cs="Times New Roman"/>
          <w:sz w:val="24"/>
          <w:szCs w:val="24"/>
          <w:lang w:eastAsia="en-SG"/>
        </w:rPr>
        <w:t xml:space="preserve"> Electric Cooperative, Inc. (ABRECO) dated 24 November 2015, seeking DOE's endorsement to ERC to allow ABRECO to directly negotiate with a power supplier for their short-term requirement in its quest for a secured and affordable power supply and to consequently relieve them from full exposure with the WESM.</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In its attached letter to ERC, ABRECO mentioned that AES is considering a 2MW Interim supply for the EC's power requirements for the next three (3) years from 2016 to 2018. We welcome this as a positive move for the improvement of ABRECO's operations, thus, we are endorsing for ERC's consideration to allow ABRECO to directly negotiate with a power supplier for its short-term requirement, albeit the requirement for competitive selection process. This request is made in consideration of ABRECO's situation as an ailing EC and to prevent its vulnerability to volatile WESM prices given its supply [is] sourced from the WESM currently. This endorsement, however, does not preclude the ERC from exercising its authority to evaluate the DUs Power Supply Agreements (PSAs) and require further action, such as, but not limited to subjecting ABRECO's PSA to a Swiss challenge.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For your consideration. Thank you.</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Very truly yours,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(signed)</w:t>
      </w:r>
      <w:r w:rsidRPr="005F5F47">
        <w:rPr>
          <w:rFonts w:ascii="Times New Roman" w:eastAsia="Times New Roman" w:hAnsi="Times New Roman" w:cs="Times New Roman"/>
          <w:sz w:val="24"/>
          <w:szCs w:val="24"/>
          <w:lang w:eastAsia="en-SG"/>
        </w:rPr>
        <w:br/>
      </w:r>
      <w:proofErr w:type="spellStart"/>
      <w:r w:rsidRPr="005F5F47">
        <w:rPr>
          <w:rFonts w:ascii="Times New Roman" w:eastAsia="Times New Roman" w:hAnsi="Times New Roman" w:cs="Times New Roman"/>
          <w:sz w:val="24"/>
          <w:szCs w:val="24"/>
          <w:lang w:eastAsia="en-SG"/>
        </w:rPr>
        <w:t>Zenaida</w:t>
      </w:r>
      <w:proofErr w:type="spellEnd"/>
      <w:r w:rsidRPr="005F5F47">
        <w:rPr>
          <w:rFonts w:ascii="Times New Roman" w:eastAsia="Times New Roman" w:hAnsi="Times New Roman" w:cs="Times New Roman"/>
          <w:sz w:val="24"/>
          <w:szCs w:val="24"/>
          <w:lang w:eastAsia="en-SG"/>
        </w:rPr>
        <w:t xml:space="preserve"> Y. </w:t>
      </w:r>
      <w:proofErr w:type="spellStart"/>
      <w:r w:rsidRPr="005F5F47">
        <w:rPr>
          <w:rFonts w:ascii="Times New Roman" w:eastAsia="Times New Roman" w:hAnsi="Times New Roman" w:cs="Times New Roman"/>
          <w:sz w:val="24"/>
          <w:szCs w:val="24"/>
          <w:lang w:eastAsia="en-SG"/>
        </w:rPr>
        <w:t>Monsada</w:t>
      </w:r>
      <w:proofErr w:type="spellEnd"/>
      <w:r w:rsidRPr="005F5F47">
        <w:rPr>
          <w:rFonts w:ascii="Times New Roman" w:eastAsia="Times New Roman" w:hAnsi="Times New Roman" w:cs="Times New Roman"/>
          <w:sz w:val="24"/>
          <w:szCs w:val="24"/>
          <w:lang w:eastAsia="en-SG"/>
        </w:rPr>
        <w:br/>
        <w:t>Secretary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[83]</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SM Land, Inc. v. Bases Conversion and Development Authority</w:t>
      </w:r>
      <w:r w:rsidRPr="005F5F47">
        <w:rPr>
          <w:rFonts w:ascii="Times New Roman" w:eastAsia="Times New Roman" w:hAnsi="Times New Roman" w:cs="Times New Roman"/>
          <w:sz w:val="24"/>
          <w:szCs w:val="24"/>
          <w:lang w:eastAsia="en-SG"/>
        </w:rPr>
        <w:t>, 741 Phil. 269, 288 (2014).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[84]</w:t>
      </w:r>
      <w:r w:rsidRPr="005F5F47">
        <w:rPr>
          <w:rFonts w:ascii="Times New Roman" w:eastAsia="Times New Roman" w:hAnsi="Times New Roman" w:cs="Times New Roman"/>
          <w:sz w:val="24"/>
          <w:szCs w:val="24"/>
          <w:lang w:eastAsia="en-SG"/>
        </w:rPr>
        <w:t xml:space="preserve"> Footnote 13 of </w:t>
      </w:r>
      <w:r w:rsidRPr="005F5F47">
        <w:rPr>
          <w:rFonts w:ascii="Times New Roman" w:eastAsia="Times New Roman" w:hAnsi="Times New Roman" w:cs="Times New Roman"/>
          <w:i/>
          <w:iCs/>
          <w:sz w:val="24"/>
          <w:szCs w:val="24"/>
          <w:lang w:eastAsia="en-SG"/>
        </w:rPr>
        <w:t>SM Land, Inc. v. Bases Conversion and Development Authority</w:t>
      </w:r>
      <w:r w:rsidRPr="005F5F47">
        <w:rPr>
          <w:rFonts w:ascii="Times New Roman" w:eastAsia="Times New Roman" w:hAnsi="Times New Roman" w:cs="Times New Roman"/>
          <w:sz w:val="24"/>
          <w:szCs w:val="24"/>
          <w:lang w:eastAsia="en-SG"/>
        </w:rPr>
        <w:t>,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[85]</w:t>
      </w:r>
      <w:r w:rsidRPr="005F5F47">
        <w:rPr>
          <w:rFonts w:ascii="Times New Roman" w:eastAsia="Times New Roman" w:hAnsi="Times New Roman" w:cs="Times New Roman"/>
          <w:sz w:val="24"/>
          <w:szCs w:val="24"/>
          <w:lang w:eastAsia="en-SG"/>
        </w:rPr>
        <w:t xml:space="preserve"> The term "Swiss Challenge" is also found in Section 3.2 of the Revised Implementing Rules and Regulations of Republic Act No. 6957, "An Act Authorizing the Financing, Construction, Operation and Maintenance of Infrastructure Projects by the Private Sector and </w:t>
      </w:r>
      <w:r w:rsidRPr="005F5F47">
        <w:rPr>
          <w:rFonts w:ascii="Times New Roman" w:eastAsia="Times New Roman" w:hAnsi="Times New Roman" w:cs="Times New Roman"/>
          <w:sz w:val="24"/>
          <w:szCs w:val="24"/>
          <w:lang w:eastAsia="en-SG"/>
        </w:rPr>
        <w:lastRenderedPageBreak/>
        <w:t>for Other Purposes," as amended by Republic Act No. 7718. Section 3.2 reads as follows</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Responsibility of the PBAC. - The PBAC herein created shall be responsible for all aspects of the pre-bidding and bidding process in the case of solicited proposals, and for the comparative bidding process (otherwise known as the "Swiss Challenge"), in the case of Unsolicited Proposals, including, among others, the preparation of the bidding/tender documents, publication of the invitation to pre-qualify and bid, pre-qualification of prospective bidders, conduct of pre-bid conferences and issuance of supplemental notices, interpretation of the rules regarding the bidding, the conduct of bidding, evaluation of bids, resolution of disputes between bidders, and recommendation for the acceptance of the bid and/or for the award of the project.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[86]</w:t>
      </w:r>
      <w:r w:rsidRPr="005F5F47">
        <w:rPr>
          <w:rFonts w:ascii="Times New Roman" w:eastAsia="Times New Roman" w:hAnsi="Times New Roman" w:cs="Times New Roman"/>
          <w:sz w:val="24"/>
          <w:szCs w:val="24"/>
          <w:lang w:eastAsia="en-SG"/>
        </w:rPr>
        <w:t xml:space="preserve"> Repealed by Executive Order No. 74 (2019). The Philippine Reclamation Authority (PRA) shall be under the control and supervision of the Office of the President, while the power of the President to approve all reclamation projects shall be delegated to the PRA governing board.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[87]</w:t>
      </w:r>
      <w:r w:rsidRPr="005F5F47">
        <w:rPr>
          <w:rFonts w:ascii="Times New Roman" w:eastAsia="Times New Roman" w:hAnsi="Times New Roman" w:cs="Times New Roman"/>
          <w:sz w:val="24"/>
          <w:szCs w:val="24"/>
          <w:lang w:eastAsia="en-SG"/>
        </w:rPr>
        <w:t xml:space="preserve"> The term "Swiss Challenge" is also found in Section 6.2 of the Implementing Rules and Regulations of Executive Order No. 146, dated 13 November 2013, "Delegating to the National Economic and Development Authority (NEDA) Board the Power of the President to Approve Reclamation Projects." Section 6.2 reads as follows</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6.2. Reclamation projects identified under Sections 2.2.2, 2.3.2, 2.4 and 2.5, after undergoing a thorough review, evaluation and negotiation process and upon acceptance by the PRA Board, shall be subjected to a competitive challenge process ("Swiss Challenge") in accordance with existing laws such as but not limited to the BOT Law, NEDA JV Guidelines and based on the parameters as approved by the NEDA Board, upon recommendation of the PRA Board.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In all cases, the Public Bidding in Section 6.1 and competitive challenge process ("Swiss Challenge") under Section 6.2 shall be undertaken after the NEDA Board approval in compliance with the competitive bidding requirement of EO No. 146.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[88]</w:t>
      </w:r>
      <w:r w:rsidRPr="005F5F47">
        <w:rPr>
          <w:rFonts w:ascii="Times New Roman" w:eastAsia="Times New Roman" w:hAnsi="Times New Roman" w:cs="Times New Roman"/>
          <w:sz w:val="24"/>
          <w:szCs w:val="24"/>
          <w:lang w:eastAsia="en-SG"/>
        </w:rPr>
        <w:t xml:space="preserve"> 2015 DOE Circular, Section 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[89]</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Rollo</w:t>
      </w:r>
      <w:r w:rsidRPr="005F5F47">
        <w:rPr>
          <w:rFonts w:ascii="Times New Roman" w:eastAsia="Times New Roman" w:hAnsi="Times New Roman" w:cs="Times New Roman"/>
          <w:sz w:val="24"/>
          <w:szCs w:val="24"/>
          <w:lang w:eastAsia="en-SG"/>
        </w:rPr>
        <w:t>, p. 1207.</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[90]</w:t>
      </w:r>
      <w:r w:rsidRPr="005F5F47">
        <w:rPr>
          <w:rFonts w:ascii="Times New Roman" w:eastAsia="Times New Roman" w:hAnsi="Times New Roman" w:cs="Times New Roman"/>
          <w:sz w:val="24"/>
          <w:szCs w:val="24"/>
          <w:lang w:eastAsia="en-SG"/>
        </w:rPr>
        <w:t xml:space="preserve"> See 2015 DOE Circular, Fourth Whereas Clause.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[91]</w:t>
      </w:r>
      <w:r w:rsidRPr="005F5F47">
        <w:rPr>
          <w:rFonts w:ascii="Times New Roman" w:eastAsia="Times New Roman" w:hAnsi="Times New Roman" w:cs="Times New Roman"/>
          <w:sz w:val="24"/>
          <w:szCs w:val="24"/>
          <w:lang w:eastAsia="en-SG"/>
        </w:rPr>
        <w:t xml:space="preserve"> See 2015 DOE Circular, Seventh Whereas Clause.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[92]</w:t>
      </w:r>
      <w:r w:rsidRPr="005F5F47">
        <w:rPr>
          <w:rFonts w:ascii="Times New Roman" w:eastAsia="Times New Roman" w:hAnsi="Times New Roman" w:cs="Times New Roman"/>
          <w:sz w:val="24"/>
          <w:szCs w:val="24"/>
          <w:lang w:eastAsia="en-SG"/>
        </w:rPr>
        <w:t xml:space="preserve"> CSP Guidelines, Third to Seventeenth Whereas Clauses.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[93]</w:t>
      </w:r>
      <w:r w:rsidRPr="005F5F47">
        <w:rPr>
          <w:rFonts w:ascii="Times New Roman" w:eastAsia="Times New Roman" w:hAnsi="Times New Roman" w:cs="Times New Roman"/>
          <w:sz w:val="24"/>
          <w:szCs w:val="24"/>
          <w:lang w:eastAsia="en-SG"/>
        </w:rPr>
        <w:t xml:space="preserve">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 Seventh and Eighth Whereas Clauses.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[94]</w:t>
      </w:r>
      <w:r w:rsidRPr="005F5F47">
        <w:rPr>
          <w:rFonts w:ascii="Times New Roman" w:eastAsia="Times New Roman" w:hAnsi="Times New Roman" w:cs="Times New Roman"/>
          <w:sz w:val="24"/>
          <w:szCs w:val="24"/>
          <w:lang w:eastAsia="en-SG"/>
        </w:rPr>
        <w:t xml:space="preserve"> See Republic Act No. 9136, Section 5.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[95]</w:t>
      </w:r>
      <w:r w:rsidRPr="005F5F47">
        <w:rPr>
          <w:rFonts w:ascii="Times New Roman" w:eastAsia="Times New Roman" w:hAnsi="Times New Roman" w:cs="Times New Roman"/>
          <w:sz w:val="24"/>
          <w:szCs w:val="24"/>
          <w:lang w:eastAsia="en-SG"/>
        </w:rPr>
        <w:t xml:space="preserve"> See Republic Act No. 9136, Section 22.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[96]</w:t>
      </w:r>
      <w:r w:rsidRPr="005F5F47">
        <w:rPr>
          <w:rFonts w:ascii="Times New Roman" w:eastAsia="Times New Roman" w:hAnsi="Times New Roman" w:cs="Times New Roman"/>
          <w:sz w:val="24"/>
          <w:szCs w:val="24"/>
          <w:lang w:eastAsia="en-SG"/>
        </w:rPr>
        <w:t xml:space="preserve"> See Republic Act No. 9136, Section 23.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lastRenderedPageBreak/>
        <w:br/>
      </w:r>
      <w:r w:rsidRPr="005F5F47">
        <w:rPr>
          <w:rFonts w:ascii="Times New Roman" w:eastAsia="Times New Roman" w:hAnsi="Times New Roman" w:cs="Times New Roman"/>
          <w:color w:val="FF0000"/>
          <w:sz w:val="24"/>
          <w:szCs w:val="24"/>
          <w:vertAlign w:val="superscript"/>
          <w:lang w:eastAsia="en-SG"/>
        </w:rPr>
        <w:t>[97]</w:t>
      </w:r>
      <w:r w:rsidRPr="005F5F47">
        <w:rPr>
          <w:rFonts w:ascii="Times New Roman" w:eastAsia="Times New Roman" w:hAnsi="Times New Roman" w:cs="Times New Roman"/>
          <w:sz w:val="24"/>
          <w:szCs w:val="24"/>
          <w:lang w:eastAsia="en-SG"/>
        </w:rPr>
        <w:t xml:space="preserve"> III RECORD, CONSTITUTIONAL COMMISSION 261-262 (13 August 1986).</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pict>
          <v:rect id="_x0000_i1037" style="width:270.8pt;height:.75pt" o:hrpct="600" o:hralign="center" o:hrstd="t" o:hrnoshade="t" o:hr="t" fillcolor="#a0a0a0" stroked="f"/>
        </w:pic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p>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SEPARATE CONCURRING OPINION</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br/>
        <w:t>PERLAS-BERNABE, J.</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 concur with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to the extent that the </w:t>
      </w:r>
      <w:r w:rsidRPr="005F5F47">
        <w:rPr>
          <w:rFonts w:ascii="Times New Roman" w:eastAsia="Times New Roman" w:hAnsi="Times New Roman" w:cs="Times New Roman"/>
          <w:b/>
          <w:bCs/>
          <w:i/>
          <w:iCs/>
          <w:sz w:val="24"/>
          <w:szCs w:val="24"/>
          <w:u w:val="single"/>
          <w:lang w:eastAsia="en-SG"/>
        </w:rPr>
        <w:t>respondent</w:t>
      </w:r>
      <w:r w:rsidRPr="005F5F47">
        <w:rPr>
          <w:rFonts w:ascii="Times New Roman" w:eastAsia="Times New Roman" w:hAnsi="Times New Roman" w:cs="Times New Roman"/>
          <w:b/>
          <w:bCs/>
          <w:sz w:val="24"/>
          <w:szCs w:val="24"/>
          <w:u w:val="single"/>
          <w:lang w:eastAsia="en-SG"/>
        </w:rPr>
        <w:t xml:space="preserve"> Energy Regulatory Commission (ERC) gravely abused its discretion when it issued ERC Resolution No. 01, Series of 2016,</w:t>
      </w:r>
      <w:r w:rsidRPr="005F5F47">
        <w:rPr>
          <w:rFonts w:ascii="Times New Roman" w:eastAsia="Times New Roman" w:hAnsi="Times New Roman" w:cs="Times New Roman"/>
          <w:color w:val="FF0000"/>
          <w:sz w:val="24"/>
          <w:szCs w:val="24"/>
          <w:vertAlign w:val="superscript"/>
          <w:lang w:eastAsia="en-SG"/>
        </w:rPr>
        <w:t>[1]</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u w:val="single"/>
          <w:lang w:eastAsia="en-SG"/>
        </w:rPr>
        <w:t>which "restated" the date of effectivity of ERC Resolution No. 13, Series of 2015</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[2]</w:t>
      </w:r>
      <w:r w:rsidRPr="005F5F47">
        <w:rPr>
          <w:rFonts w:ascii="Times New Roman" w:eastAsia="Times New Roman" w:hAnsi="Times New Roman" w:cs="Times New Roman"/>
          <w:sz w:val="24"/>
          <w:szCs w:val="24"/>
          <w:lang w:eastAsia="en-SG"/>
        </w:rPr>
        <w:t xml:space="preserve"> entitled "A Resolution Directing All Distribution Utilities (DUs) to Conduct a Competitive Selection Process [(CSP)] in the Procurement of their Supply to the Captive Market."</w:t>
      </w:r>
      <w:r w:rsidRPr="005F5F47">
        <w:rPr>
          <w:rFonts w:ascii="Times New Roman" w:eastAsia="Times New Roman" w:hAnsi="Times New Roman" w:cs="Times New Roman"/>
          <w:color w:val="FF0000"/>
          <w:sz w:val="24"/>
          <w:szCs w:val="24"/>
          <w:vertAlign w:val="superscript"/>
          <w:lang w:eastAsia="en-SG"/>
        </w:rPr>
        <w:t>[3]</w:t>
      </w:r>
      <w:r w:rsidRPr="005F5F47">
        <w:rPr>
          <w:rFonts w:ascii="Times New Roman" w:eastAsia="Times New Roman" w:hAnsi="Times New Roman" w:cs="Times New Roman"/>
          <w:sz w:val="24"/>
          <w:szCs w:val="24"/>
          <w:lang w:eastAsia="en-SG"/>
        </w:rPr>
        <w:t xml:space="preserve"> As will be herein discussed, absent the approval of and coordination with the Department of Energy (DOE), the ERC cannot suspend the effectivity of the CSP, which process was originally mandated under DOE Department Circular No. DC2015-06-0008</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4]</w:t>
      </w:r>
      <w:r w:rsidRPr="005F5F47">
        <w:rPr>
          <w:rFonts w:ascii="Times New Roman" w:eastAsia="Times New Roman" w:hAnsi="Times New Roman" w:cs="Times New Roman"/>
          <w:sz w:val="24"/>
          <w:szCs w:val="24"/>
          <w:lang w:eastAsia="en-SG"/>
        </w:rPr>
        <w:t xml:space="preserve"> entitled "Mandating All Distribution Utilities to Undergo Competitive Selection Process (CSP) in Securing Power Supply Agreements (PSA)" (DOE Circular). However, as will be elaborated upon below, I qualify my concurrence in that: (a) only ERC Resolution No. 01, Series of 2016 - and not the first paragraph of Section 4 of ERC Resolution No. 13, Series of 2015 - should be declared null and void; and (b) pursuant to the doctrine of operative fact, the effects of the PSAs already approved prior to the invalidity of ERC Resolution No. 01, Series of 2016, notwithstanding their CSP non-compliance, should be recognized.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As backgrounder, the CSP is essentially a regulation on the procurement of PSAs by the DUs [to ensure] security and certainty of electricity prices of electric power to end-users in the long term.</w:t>
      </w:r>
      <w:r w:rsidRPr="005F5F47">
        <w:rPr>
          <w:rFonts w:ascii="Times New Roman" w:eastAsia="Times New Roman" w:hAnsi="Times New Roman" w:cs="Times New Roman"/>
          <w:color w:val="FF0000"/>
          <w:sz w:val="24"/>
          <w:szCs w:val="24"/>
          <w:vertAlign w:val="superscript"/>
          <w:lang w:eastAsia="en-SG"/>
        </w:rPr>
        <w:t>[5]</w:t>
      </w:r>
      <w:r w:rsidRPr="005F5F47">
        <w:rPr>
          <w:rFonts w:ascii="Times New Roman" w:eastAsia="Times New Roman" w:hAnsi="Times New Roman" w:cs="Times New Roman"/>
          <w:sz w:val="24"/>
          <w:szCs w:val="24"/>
          <w:lang w:eastAsia="en-SG"/>
        </w:rPr>
        <w:t xml:space="preserve"> As presently defined in DOE Department Circular No. DC2018-02-0003</w:t>
      </w:r>
      <w:r w:rsidRPr="005F5F47">
        <w:rPr>
          <w:rFonts w:ascii="Times New Roman" w:eastAsia="Times New Roman" w:hAnsi="Times New Roman" w:cs="Times New Roman"/>
          <w:color w:val="FF0000"/>
          <w:sz w:val="24"/>
          <w:szCs w:val="24"/>
          <w:vertAlign w:val="superscript"/>
          <w:lang w:eastAsia="en-SG"/>
        </w:rPr>
        <w:t>[6]</w:t>
      </w:r>
      <w:r w:rsidRPr="005F5F47">
        <w:rPr>
          <w:rFonts w:ascii="Times New Roman" w:eastAsia="Times New Roman" w:hAnsi="Times New Roman" w:cs="Times New Roman"/>
          <w:sz w:val="24"/>
          <w:szCs w:val="24"/>
          <w:lang w:eastAsia="en-SG"/>
        </w:rPr>
        <w:t xml:space="preserve"> issued on February 1, 2018</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7]</w:t>
      </w:r>
      <w:r w:rsidRPr="005F5F47">
        <w:rPr>
          <w:rFonts w:ascii="Times New Roman" w:eastAsia="Times New Roman" w:hAnsi="Times New Roman" w:cs="Times New Roman"/>
          <w:sz w:val="24"/>
          <w:szCs w:val="24"/>
          <w:lang w:eastAsia="en-SG"/>
        </w:rPr>
        <w:t xml:space="preserve"> </w:t>
      </w:r>
    </w:p>
    <w:tbl>
      <w:tblPr>
        <w:tblW w:w="5000" w:type="pct"/>
        <w:tblCellSpacing w:w="0" w:type="dxa"/>
        <w:tblCellMar>
          <w:left w:w="0" w:type="dxa"/>
          <w:right w:w="0" w:type="dxa"/>
        </w:tblCellMar>
        <w:tblLook w:val="04A0" w:firstRow="1" w:lastRow="0" w:firstColumn="1" w:lastColumn="0" w:noHBand="0" w:noVBand="1"/>
      </w:tblPr>
      <w:tblGrid>
        <w:gridCol w:w="451"/>
        <w:gridCol w:w="8575"/>
      </w:tblGrid>
      <w:tr w:rsidR="005F5F47" w:rsidRPr="005F5F47" w:rsidTr="005F5F47">
        <w:trPr>
          <w:tblCellSpacing w:w="0" w:type="dxa"/>
        </w:trPr>
        <w:tc>
          <w:tcPr>
            <w:tcW w:w="2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3.8.</w:t>
            </w:r>
          </w:p>
        </w:tc>
        <w:tc>
          <w:tcPr>
            <w:tcW w:w="47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i/>
                <w:iCs/>
                <w:sz w:val="24"/>
                <w:szCs w:val="24"/>
                <w:lang w:eastAsia="en-SG"/>
              </w:rPr>
              <w:t>Competitive Selection Process</w:t>
            </w:r>
            <w:r w:rsidRPr="005F5F47">
              <w:rPr>
                <w:rFonts w:ascii="Times New Roman" w:eastAsia="Times New Roman" w:hAnsi="Times New Roman" w:cs="Times New Roman"/>
                <w:sz w:val="24"/>
                <w:szCs w:val="24"/>
                <w:lang w:eastAsia="en-SG"/>
              </w:rPr>
              <w:t>" or "</w:t>
            </w:r>
            <w:r w:rsidRPr="005F5F47">
              <w:rPr>
                <w:rFonts w:ascii="Times New Roman" w:eastAsia="Times New Roman" w:hAnsi="Times New Roman" w:cs="Times New Roman"/>
                <w:i/>
                <w:iCs/>
                <w:sz w:val="24"/>
                <w:szCs w:val="24"/>
                <w:lang w:eastAsia="en-SG"/>
              </w:rPr>
              <w:t>CSP</w:t>
            </w:r>
            <w:r w:rsidRPr="005F5F47">
              <w:rPr>
                <w:rFonts w:ascii="Times New Roman" w:eastAsia="Times New Roman" w:hAnsi="Times New Roman" w:cs="Times New Roman"/>
                <w:sz w:val="24"/>
                <w:szCs w:val="24"/>
                <w:lang w:eastAsia="en-SG"/>
              </w:rPr>
              <w:t>" refers to the process wherein a Generation Company or, in the case of off-grid areas, New Power Provider, is awarded to supply electric power requirements of a DU through transparent and competitive bidding undertaken by a DU or by Aggregated DUs to secure supply of electricity based on the evaluation of criteria adopted by the DUs in accordance with the requirements of this Policy. For purposes of, and throughout the Policy, the terms "</w:t>
            </w:r>
            <w:r w:rsidRPr="005F5F47">
              <w:rPr>
                <w:rFonts w:ascii="Times New Roman" w:eastAsia="Times New Roman" w:hAnsi="Times New Roman" w:cs="Times New Roman"/>
                <w:i/>
                <w:iCs/>
                <w:sz w:val="24"/>
                <w:szCs w:val="24"/>
                <w:lang w:eastAsia="en-SG"/>
              </w:rPr>
              <w:t>Competitive Bidding</w:t>
            </w:r>
            <w:r w:rsidRPr="005F5F47">
              <w:rPr>
                <w:rFonts w:ascii="Times New Roman" w:eastAsia="Times New Roman" w:hAnsi="Times New Roman" w:cs="Times New Roman"/>
                <w:sz w:val="24"/>
                <w:szCs w:val="24"/>
                <w:lang w:eastAsia="en-SG"/>
              </w:rPr>
              <w:t>" and "</w:t>
            </w:r>
            <w:r w:rsidRPr="005F5F47">
              <w:rPr>
                <w:rFonts w:ascii="Times New Roman" w:eastAsia="Times New Roman" w:hAnsi="Times New Roman" w:cs="Times New Roman"/>
                <w:i/>
                <w:iCs/>
                <w:sz w:val="24"/>
                <w:szCs w:val="24"/>
                <w:lang w:eastAsia="en-SG"/>
              </w:rPr>
              <w:t>CSP</w:t>
            </w:r>
            <w:r w:rsidRPr="005F5F47">
              <w:rPr>
                <w:rFonts w:ascii="Times New Roman" w:eastAsia="Times New Roman" w:hAnsi="Times New Roman" w:cs="Times New Roman"/>
                <w:sz w:val="24"/>
                <w:szCs w:val="24"/>
                <w:lang w:eastAsia="en-SG"/>
              </w:rPr>
              <w:t>" shall have the same meaning and shall be used interchangeably.</w:t>
            </w:r>
          </w:p>
        </w:tc>
      </w:tr>
    </w:tbl>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The CSP traces its roots to the policies mandated under Republic Act No. 9136</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8]</w:t>
      </w:r>
      <w:r w:rsidRPr="005F5F47">
        <w:rPr>
          <w:rFonts w:ascii="Times New Roman" w:eastAsia="Times New Roman" w:hAnsi="Times New Roman" w:cs="Times New Roman"/>
          <w:sz w:val="24"/>
          <w:szCs w:val="24"/>
          <w:lang w:eastAsia="en-SG"/>
        </w:rPr>
        <w:t xml:space="preserve"> otherwise known as the "Electric Power Industry Reform Act of 2001" (EPIRA). Under the EPIRA, both the DOE and the ERC are authorized by law to issue and implement the proper rules in order to - among other policy objectives - "ensure transparent and reasonable prices of electricity in </w:t>
      </w:r>
      <w:r w:rsidRPr="005F5F47">
        <w:rPr>
          <w:rFonts w:ascii="Times New Roman" w:eastAsia="Times New Roman" w:hAnsi="Times New Roman" w:cs="Times New Roman"/>
          <w:b/>
          <w:bCs/>
          <w:sz w:val="24"/>
          <w:szCs w:val="24"/>
          <w:u w:val="single"/>
          <w:lang w:eastAsia="en-SG"/>
        </w:rPr>
        <w:t>a regime of free and fair competition</w:t>
      </w:r>
      <w:r w:rsidRPr="005F5F47">
        <w:rPr>
          <w:rFonts w:ascii="Times New Roman" w:eastAsia="Times New Roman" w:hAnsi="Times New Roman" w:cs="Times New Roman"/>
          <w:sz w:val="24"/>
          <w:szCs w:val="24"/>
          <w:lang w:eastAsia="en-SG"/>
        </w:rPr>
        <w:t xml:space="preserve"> and full public accountability to achieve greater operational and economic efficiency and enhance the competitiveness of Philippine products in the global market."</w:t>
      </w:r>
      <w:r w:rsidRPr="005F5F47">
        <w:rPr>
          <w:rFonts w:ascii="Times New Roman" w:eastAsia="Times New Roman" w:hAnsi="Times New Roman" w:cs="Times New Roman"/>
          <w:color w:val="FF0000"/>
          <w:sz w:val="24"/>
          <w:szCs w:val="24"/>
          <w:vertAlign w:val="superscript"/>
          <w:lang w:eastAsia="en-SG"/>
        </w:rPr>
        <w:t>[9]</w:t>
      </w:r>
      <w:r w:rsidRPr="005F5F47">
        <w:rPr>
          <w:rFonts w:ascii="Times New Roman" w:eastAsia="Times New Roman" w:hAnsi="Times New Roman" w:cs="Times New Roman"/>
          <w:sz w:val="24"/>
          <w:szCs w:val="24"/>
          <w:lang w:eastAsia="en-SG"/>
        </w:rPr>
        <w:t xml:space="preserve"> In particular, the DOE is tasked to formulate the rules "necessary to implement the objectives of [EPIRA],"</w:t>
      </w:r>
      <w:r w:rsidRPr="005F5F47">
        <w:rPr>
          <w:rFonts w:ascii="Times New Roman" w:eastAsia="Times New Roman" w:hAnsi="Times New Roman" w:cs="Times New Roman"/>
          <w:color w:val="FF0000"/>
          <w:sz w:val="24"/>
          <w:szCs w:val="24"/>
          <w:vertAlign w:val="superscript"/>
          <w:lang w:eastAsia="en-SG"/>
        </w:rPr>
        <w:t>[10]</w:t>
      </w:r>
      <w:r w:rsidRPr="005F5F47">
        <w:rPr>
          <w:rFonts w:ascii="Times New Roman" w:eastAsia="Times New Roman" w:hAnsi="Times New Roman" w:cs="Times New Roman"/>
          <w:sz w:val="24"/>
          <w:szCs w:val="24"/>
          <w:lang w:eastAsia="en-SG"/>
        </w:rPr>
        <w:t xml:space="preserve"> whereas "[p]</w:t>
      </w:r>
      <w:proofErr w:type="spellStart"/>
      <w:r w:rsidRPr="005F5F47">
        <w:rPr>
          <w:rFonts w:ascii="Times New Roman" w:eastAsia="Times New Roman" w:hAnsi="Times New Roman" w:cs="Times New Roman"/>
          <w:sz w:val="24"/>
          <w:szCs w:val="24"/>
          <w:lang w:eastAsia="en-SG"/>
        </w:rPr>
        <w:t>ursuant</w:t>
      </w:r>
      <w:proofErr w:type="spellEnd"/>
      <w:r w:rsidRPr="005F5F47">
        <w:rPr>
          <w:rFonts w:ascii="Times New Roman" w:eastAsia="Times New Roman" w:hAnsi="Times New Roman" w:cs="Times New Roman"/>
          <w:sz w:val="24"/>
          <w:szCs w:val="24"/>
          <w:lang w:eastAsia="en-SG"/>
        </w:rPr>
        <w:t xml:space="preserve"> to Sections 43 and 45 of the [EPIRA], the ERC shall promulgate such rules and regulations as authorized thereby, including but not limited to Competition Rules and limitations on recovery of system losses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x."</w:t>
      </w:r>
      <w:r w:rsidRPr="005F5F47">
        <w:rPr>
          <w:rFonts w:ascii="Times New Roman" w:eastAsia="Times New Roman" w:hAnsi="Times New Roman" w:cs="Times New Roman"/>
          <w:color w:val="FF0000"/>
          <w:sz w:val="24"/>
          <w:szCs w:val="24"/>
          <w:vertAlign w:val="superscript"/>
          <w:lang w:eastAsia="en-SG"/>
        </w:rPr>
        <w:t>[11</w:t>
      </w:r>
      <w:proofErr w:type="gramStart"/>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As headlined in this case, the inaugural issuance meant to put the CSP in force is </w:t>
      </w:r>
      <w:r w:rsidRPr="005F5F47">
        <w:rPr>
          <w:rFonts w:ascii="Times New Roman" w:eastAsia="Times New Roman" w:hAnsi="Times New Roman" w:cs="Times New Roman"/>
          <w:b/>
          <w:bCs/>
          <w:sz w:val="24"/>
          <w:szCs w:val="24"/>
          <w:u w:val="single"/>
          <w:lang w:eastAsia="en-SG"/>
        </w:rPr>
        <w:t>DOE Department Circular No. DC2015-06-0008</w:t>
      </w:r>
      <w:r w:rsidRPr="005F5F47">
        <w:rPr>
          <w:rFonts w:ascii="Times New Roman" w:eastAsia="Times New Roman" w:hAnsi="Times New Roman" w:cs="Times New Roman"/>
          <w:sz w:val="24"/>
          <w:szCs w:val="24"/>
          <w:lang w:eastAsia="en-SG"/>
        </w:rPr>
        <w:t xml:space="preserve">, issued in June 2015. Section 3 thereof </w:t>
      </w:r>
      <w:r w:rsidRPr="005F5F47">
        <w:rPr>
          <w:rFonts w:ascii="Times New Roman" w:eastAsia="Times New Roman" w:hAnsi="Times New Roman" w:cs="Times New Roman"/>
          <w:sz w:val="24"/>
          <w:szCs w:val="24"/>
          <w:lang w:eastAsia="en-SG"/>
        </w:rPr>
        <w:lastRenderedPageBreak/>
        <w:t>pertinently states that "[a]</w:t>
      </w:r>
      <w:proofErr w:type="spellStart"/>
      <w:r w:rsidRPr="005F5F47">
        <w:rPr>
          <w:rFonts w:ascii="Times New Roman" w:eastAsia="Times New Roman" w:hAnsi="Times New Roman" w:cs="Times New Roman"/>
          <w:sz w:val="24"/>
          <w:szCs w:val="24"/>
          <w:lang w:eastAsia="en-SG"/>
        </w:rPr>
        <w:t>fter</w:t>
      </w:r>
      <w:proofErr w:type="spellEnd"/>
      <w:r w:rsidRPr="005F5F47">
        <w:rPr>
          <w:rFonts w:ascii="Times New Roman" w:eastAsia="Times New Roman" w:hAnsi="Times New Roman" w:cs="Times New Roman"/>
          <w:sz w:val="24"/>
          <w:szCs w:val="24"/>
          <w:lang w:eastAsia="en-SG"/>
        </w:rPr>
        <w:t xml:space="preserve"> the effectivity of this circular [(which was on June 30, 2015 following its publication</w:t>
      </w:r>
      <w:r w:rsidRPr="005F5F47">
        <w:rPr>
          <w:rFonts w:ascii="Times New Roman" w:eastAsia="Times New Roman" w:hAnsi="Times New Roman" w:cs="Times New Roman"/>
          <w:color w:val="FF0000"/>
          <w:sz w:val="24"/>
          <w:szCs w:val="24"/>
          <w:vertAlign w:val="superscript"/>
          <w:lang w:eastAsia="en-SG"/>
        </w:rPr>
        <w:t>[12]</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lang w:eastAsia="en-SG"/>
        </w:rPr>
        <w:t>all DUs shall procure PSAs only through CSP</w:t>
      </w:r>
      <w:r w:rsidRPr="005F5F47">
        <w:rPr>
          <w:rFonts w:ascii="Times New Roman" w:eastAsia="Times New Roman" w:hAnsi="Times New Roman" w:cs="Times New Roman"/>
          <w:sz w:val="24"/>
          <w:szCs w:val="24"/>
          <w:lang w:eastAsia="en-SG"/>
        </w:rPr>
        <w:t xml:space="preserve"> conducted through a Third Party duly recognized by </w:t>
      </w:r>
      <w:r w:rsidRPr="005F5F47">
        <w:rPr>
          <w:rFonts w:ascii="Times New Roman" w:eastAsia="Times New Roman" w:hAnsi="Times New Roman" w:cs="Times New Roman"/>
          <w:b/>
          <w:bCs/>
          <w:sz w:val="24"/>
          <w:szCs w:val="24"/>
          <w:lang w:eastAsia="en-SG"/>
        </w:rPr>
        <w:t>the ERC and the DOE</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[13]</w:t>
      </w:r>
      <w:r w:rsidRPr="005F5F47">
        <w:rPr>
          <w:rFonts w:ascii="Times New Roman" w:eastAsia="Times New Roman" w:hAnsi="Times New Roman" w:cs="Times New Roman"/>
          <w:sz w:val="24"/>
          <w:szCs w:val="24"/>
          <w:lang w:eastAsia="en-SG"/>
        </w:rPr>
        <w:t xml:space="preserve"> In this regard, the same section provides that "</w:t>
      </w:r>
      <w:r w:rsidRPr="005F5F47">
        <w:rPr>
          <w:rFonts w:ascii="Times New Roman" w:eastAsia="Times New Roman" w:hAnsi="Times New Roman" w:cs="Times New Roman"/>
          <w:sz w:val="24"/>
          <w:szCs w:val="24"/>
          <w:u w:val="single"/>
          <w:lang w:eastAsia="en-SG"/>
        </w:rPr>
        <w:t>[w]</w:t>
      </w:r>
      <w:proofErr w:type="spellStart"/>
      <w:r w:rsidRPr="005F5F47">
        <w:rPr>
          <w:rFonts w:ascii="Times New Roman" w:eastAsia="Times New Roman" w:hAnsi="Times New Roman" w:cs="Times New Roman"/>
          <w:sz w:val="24"/>
          <w:szCs w:val="24"/>
          <w:u w:val="single"/>
          <w:lang w:eastAsia="en-SG"/>
        </w:rPr>
        <w:t>ithin</w:t>
      </w:r>
      <w:proofErr w:type="spellEnd"/>
      <w:r w:rsidRPr="005F5F47">
        <w:rPr>
          <w:rFonts w:ascii="Times New Roman" w:eastAsia="Times New Roman" w:hAnsi="Times New Roman" w:cs="Times New Roman"/>
          <w:sz w:val="24"/>
          <w:szCs w:val="24"/>
          <w:u w:val="single"/>
          <w:lang w:eastAsia="en-SG"/>
        </w:rPr>
        <w:t xml:space="preserve"> one hundred twenty (120) days from the effectivity of this Circular</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lang w:eastAsia="en-SG"/>
        </w:rPr>
        <w:t>the ERC and DOE shall jointly issue</w:t>
      </w:r>
      <w:r w:rsidRPr="005F5F47">
        <w:rPr>
          <w:rFonts w:ascii="Times New Roman" w:eastAsia="Times New Roman" w:hAnsi="Times New Roman" w:cs="Times New Roman"/>
          <w:sz w:val="24"/>
          <w:szCs w:val="24"/>
          <w:lang w:eastAsia="en-SG"/>
        </w:rPr>
        <w:t xml:space="preserve"> the guidelines and procedures for the aggregation of the [uncontracted] demand requirements of the DUs and the process of recognition or accreditation of the Third Party that conducts the CSP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x."</w:t>
      </w:r>
      <w:r w:rsidRPr="005F5F47">
        <w:rPr>
          <w:rFonts w:ascii="Times New Roman" w:eastAsia="Times New Roman" w:hAnsi="Times New Roman" w:cs="Times New Roman"/>
          <w:color w:val="FF0000"/>
          <w:sz w:val="24"/>
          <w:szCs w:val="24"/>
          <w:vertAlign w:val="superscript"/>
          <w:lang w:eastAsia="en-SG"/>
        </w:rPr>
        <w:t>[14</w:t>
      </w:r>
      <w:proofErr w:type="gramStart"/>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Related thereto, Section 4</w:t>
      </w:r>
      <w:r w:rsidRPr="005F5F47">
        <w:rPr>
          <w:rFonts w:ascii="Times New Roman" w:eastAsia="Times New Roman" w:hAnsi="Times New Roman" w:cs="Times New Roman"/>
          <w:color w:val="FF0000"/>
          <w:sz w:val="24"/>
          <w:szCs w:val="24"/>
          <w:vertAlign w:val="superscript"/>
          <w:lang w:eastAsia="en-SG"/>
        </w:rPr>
        <w:t>[15]</w:t>
      </w:r>
      <w:r w:rsidRPr="005F5F47">
        <w:rPr>
          <w:rFonts w:ascii="Times New Roman" w:eastAsia="Times New Roman" w:hAnsi="Times New Roman" w:cs="Times New Roman"/>
          <w:sz w:val="24"/>
          <w:szCs w:val="24"/>
          <w:lang w:eastAsia="en-SG"/>
        </w:rPr>
        <w:t xml:space="preserve"> of DOE Department Circular No. DC2015-06-0008 confers unto </w:t>
      </w:r>
      <w:r w:rsidRPr="005F5F47">
        <w:rPr>
          <w:rFonts w:ascii="Times New Roman" w:eastAsia="Times New Roman" w:hAnsi="Times New Roman" w:cs="Times New Roman"/>
          <w:b/>
          <w:bCs/>
          <w:sz w:val="24"/>
          <w:szCs w:val="24"/>
          <w:lang w:eastAsia="en-SG"/>
        </w:rPr>
        <w:t xml:space="preserve">the ERC the power </w:t>
      </w:r>
      <w:r w:rsidRPr="005F5F47">
        <w:rPr>
          <w:rFonts w:ascii="Times New Roman" w:eastAsia="Times New Roman" w:hAnsi="Times New Roman" w:cs="Times New Roman"/>
          <w:b/>
          <w:bCs/>
          <w:sz w:val="24"/>
          <w:szCs w:val="24"/>
          <w:u w:val="single"/>
          <w:lang w:eastAsia="en-SG"/>
        </w:rPr>
        <w:t>to issue supplemental guidelines and procedures to properly guide the DUs and the Third Party in the design and execution of the CSP</w:t>
      </w:r>
      <w:r w:rsidRPr="005F5F47">
        <w:rPr>
          <w:rFonts w:ascii="Times New Roman" w:eastAsia="Times New Roman" w:hAnsi="Times New Roman" w:cs="Times New Roman"/>
          <w:sz w:val="24"/>
          <w:szCs w:val="24"/>
          <w:lang w:eastAsia="en-SG"/>
        </w:rPr>
        <w:t xml:space="preserve">. Section 4, however, makes clear that still, the ERC shall exercise such power "upon its determination and </w:t>
      </w:r>
      <w:r w:rsidRPr="005F5F47">
        <w:rPr>
          <w:rFonts w:ascii="Times New Roman" w:eastAsia="Times New Roman" w:hAnsi="Times New Roman" w:cs="Times New Roman"/>
          <w:sz w:val="24"/>
          <w:szCs w:val="24"/>
          <w:u w:val="single"/>
          <w:lang w:eastAsia="en-SG"/>
        </w:rPr>
        <w:t>in coordination with the DOE</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[16]</w:t>
      </w:r>
      <w:r w:rsidRPr="005F5F47">
        <w:rPr>
          <w:rFonts w:ascii="Times New Roman" w:eastAsia="Times New Roman" w:hAnsi="Times New Roman" w:cs="Times New Roman"/>
          <w:sz w:val="24"/>
          <w:szCs w:val="24"/>
          <w:lang w:eastAsia="en-SG"/>
        </w:rPr>
        <w:t xml:space="preserve"> In addition, Section 6</w:t>
      </w:r>
      <w:r w:rsidRPr="005F5F47">
        <w:rPr>
          <w:rFonts w:ascii="Times New Roman" w:eastAsia="Times New Roman" w:hAnsi="Times New Roman" w:cs="Times New Roman"/>
          <w:color w:val="FF0000"/>
          <w:sz w:val="24"/>
          <w:szCs w:val="24"/>
          <w:vertAlign w:val="superscript"/>
          <w:lang w:eastAsia="en-SG"/>
        </w:rPr>
        <w:t>[17]</w:t>
      </w:r>
      <w:r w:rsidRPr="005F5F47">
        <w:rPr>
          <w:rFonts w:ascii="Times New Roman" w:eastAsia="Times New Roman" w:hAnsi="Times New Roman" w:cs="Times New Roman"/>
          <w:sz w:val="24"/>
          <w:szCs w:val="24"/>
          <w:lang w:eastAsia="en-SG"/>
        </w:rPr>
        <w:t xml:space="preserve"> of the DOE Circular also provides that monitoring of the compliance with the conditions of the CSPs will be exercised jointly by both the DOE and the ERC.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Based on the foregoing, it is therefore apparent that DOE Circular No. DC2015-06-0008 provides for the adoption of the CSP, but leaves the issuance of </w:t>
      </w:r>
      <w:r w:rsidRPr="005F5F47">
        <w:rPr>
          <w:rFonts w:ascii="Times New Roman" w:eastAsia="Times New Roman" w:hAnsi="Times New Roman" w:cs="Times New Roman"/>
          <w:b/>
          <w:bCs/>
          <w:sz w:val="24"/>
          <w:szCs w:val="24"/>
          <w:lang w:eastAsia="en-SG"/>
        </w:rPr>
        <w:t>supplemental guidelines and procedures for its design and execution</w:t>
      </w:r>
      <w:r w:rsidRPr="005F5F47">
        <w:rPr>
          <w:rFonts w:ascii="Times New Roman" w:eastAsia="Times New Roman" w:hAnsi="Times New Roman" w:cs="Times New Roman"/>
          <w:sz w:val="24"/>
          <w:szCs w:val="24"/>
          <w:lang w:eastAsia="en-SG"/>
        </w:rPr>
        <w:t xml:space="preserve"> to the ERC </w:t>
      </w:r>
      <w:r w:rsidRPr="005F5F47">
        <w:rPr>
          <w:rFonts w:ascii="Times New Roman" w:eastAsia="Times New Roman" w:hAnsi="Times New Roman" w:cs="Times New Roman"/>
          <w:b/>
          <w:bCs/>
          <w:sz w:val="24"/>
          <w:szCs w:val="24"/>
          <w:lang w:eastAsia="en-SG"/>
        </w:rPr>
        <w:t>after</w:t>
      </w:r>
      <w:r w:rsidRPr="005F5F47">
        <w:rPr>
          <w:rFonts w:ascii="Times New Roman" w:eastAsia="Times New Roman" w:hAnsi="Times New Roman" w:cs="Times New Roman"/>
          <w:sz w:val="24"/>
          <w:szCs w:val="24"/>
          <w:lang w:eastAsia="en-SG"/>
        </w:rPr>
        <w:t xml:space="preserve"> it has coordinated with the DOE.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On October 20, 2015, or within one hundred twenty (120) days from the effectivity of the DOE Circular, the DOE and ERC issued Joint Resolution No. 1, which provides that the ERC, by agreement of the DOE and the ERC, "shall issue the </w:t>
      </w:r>
      <w:r w:rsidRPr="005F5F47">
        <w:rPr>
          <w:rFonts w:ascii="Times New Roman" w:eastAsia="Times New Roman" w:hAnsi="Times New Roman" w:cs="Times New Roman"/>
          <w:b/>
          <w:bCs/>
          <w:sz w:val="24"/>
          <w:szCs w:val="24"/>
          <w:u w:val="single"/>
          <w:lang w:eastAsia="en-SG"/>
        </w:rPr>
        <w:t>appropriate regulations to implement the [CSP]</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[18</w:t>
      </w:r>
      <w:proofErr w:type="gramStart"/>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Given </w:t>
      </w:r>
      <w:r w:rsidRPr="005F5F47">
        <w:rPr>
          <w:rFonts w:ascii="Times New Roman" w:eastAsia="Times New Roman" w:hAnsi="Times New Roman" w:cs="Times New Roman"/>
          <w:b/>
          <w:bCs/>
          <w:sz w:val="24"/>
          <w:szCs w:val="24"/>
          <w:lang w:eastAsia="en-SG"/>
        </w:rPr>
        <w:t>(1)</w:t>
      </w:r>
      <w:r w:rsidRPr="005F5F47">
        <w:rPr>
          <w:rFonts w:ascii="Times New Roman" w:eastAsia="Times New Roman" w:hAnsi="Times New Roman" w:cs="Times New Roman"/>
          <w:sz w:val="24"/>
          <w:szCs w:val="24"/>
          <w:lang w:eastAsia="en-SG"/>
        </w:rPr>
        <w:t xml:space="preserve"> the rule-making authority of the DOE and the ERC under the EPIRA, and </w:t>
      </w:r>
      <w:r w:rsidRPr="005F5F47">
        <w:rPr>
          <w:rFonts w:ascii="Times New Roman" w:eastAsia="Times New Roman" w:hAnsi="Times New Roman" w:cs="Times New Roman"/>
          <w:b/>
          <w:bCs/>
          <w:sz w:val="24"/>
          <w:szCs w:val="24"/>
          <w:lang w:eastAsia="en-SG"/>
        </w:rPr>
        <w:t>(2)</w:t>
      </w:r>
      <w:r w:rsidRPr="005F5F47">
        <w:rPr>
          <w:rFonts w:ascii="Times New Roman" w:eastAsia="Times New Roman" w:hAnsi="Times New Roman" w:cs="Times New Roman"/>
          <w:sz w:val="24"/>
          <w:szCs w:val="24"/>
          <w:lang w:eastAsia="en-SG"/>
        </w:rPr>
        <w:t xml:space="preserve"> the circumstantial trajectory of the issuances on the CSP, it is thus fairly apparent that </w:t>
      </w:r>
      <w:r w:rsidRPr="005F5F47">
        <w:rPr>
          <w:rFonts w:ascii="Times New Roman" w:eastAsia="Times New Roman" w:hAnsi="Times New Roman" w:cs="Times New Roman"/>
          <w:b/>
          <w:bCs/>
          <w:sz w:val="24"/>
          <w:szCs w:val="24"/>
          <w:lang w:eastAsia="en-SG"/>
        </w:rPr>
        <w:t xml:space="preserve">the term "appropriate regulations" under Section 1 of Joint Resolution No. 1 should only pertain to the </w:t>
      </w:r>
      <w:r w:rsidRPr="005F5F47">
        <w:rPr>
          <w:rFonts w:ascii="Times New Roman" w:eastAsia="Times New Roman" w:hAnsi="Times New Roman" w:cs="Times New Roman"/>
          <w:b/>
          <w:bCs/>
          <w:sz w:val="24"/>
          <w:szCs w:val="24"/>
          <w:u w:val="single"/>
          <w:lang w:eastAsia="en-SG"/>
        </w:rPr>
        <w:t>supplemental guidelines and procedures for the design and execution of the CSP</w:t>
      </w:r>
      <w:r w:rsidRPr="005F5F47">
        <w:rPr>
          <w:rFonts w:ascii="Times New Roman" w:eastAsia="Times New Roman" w:hAnsi="Times New Roman" w:cs="Times New Roman"/>
          <w:color w:val="FF0000"/>
          <w:sz w:val="24"/>
          <w:szCs w:val="24"/>
          <w:vertAlign w:val="superscript"/>
          <w:lang w:eastAsia="en-SG"/>
        </w:rPr>
        <w:t>[19]</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lang w:eastAsia="en-SG"/>
        </w:rPr>
        <w:t>that the ERC is empowered to issue in coordination with the DOE</w:t>
      </w:r>
      <w:r w:rsidRPr="005F5F47">
        <w:rPr>
          <w:rFonts w:ascii="Times New Roman" w:eastAsia="Times New Roman" w:hAnsi="Times New Roman" w:cs="Times New Roman"/>
          <w:sz w:val="24"/>
          <w:szCs w:val="24"/>
          <w:lang w:eastAsia="en-SG"/>
        </w:rPr>
        <w:t xml:space="preserve">. To my mind, Section 1 should not be construed as a blanket grant of authority by the DOE to the ERC to issue whatever guidelines the latter deems fit for the implementation of the CSP. </w:t>
      </w:r>
      <w:r w:rsidRPr="005F5F47">
        <w:rPr>
          <w:rFonts w:ascii="Times New Roman" w:eastAsia="Times New Roman" w:hAnsi="Times New Roman" w:cs="Times New Roman"/>
          <w:i/>
          <w:iCs/>
          <w:sz w:val="24"/>
          <w:szCs w:val="24"/>
          <w:lang w:eastAsia="en-SG"/>
        </w:rPr>
        <w:t>To adopt this latter view would be tantamount to an isolated reading of a provision that is impervious to the context under which it was formulated. Worse, this construction tends to effectively undermine the DOE's role in the process of promulgating rules to advance the EPIRA's policy objectives on fair competition.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In fact, it deserves pointing out that the ERC issued </w:t>
      </w:r>
      <w:r w:rsidRPr="005F5F47">
        <w:rPr>
          <w:rFonts w:ascii="Times New Roman" w:eastAsia="Times New Roman" w:hAnsi="Times New Roman" w:cs="Times New Roman"/>
          <w:b/>
          <w:bCs/>
          <w:sz w:val="24"/>
          <w:szCs w:val="24"/>
          <w:lang w:eastAsia="en-SG"/>
        </w:rPr>
        <w:t>Resolution No. 13, Series of 2015 on the same day</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i.e.</w:t>
      </w:r>
      <w:r w:rsidRPr="005F5F47">
        <w:rPr>
          <w:rFonts w:ascii="Times New Roman" w:eastAsia="Times New Roman" w:hAnsi="Times New Roman" w:cs="Times New Roman"/>
          <w:sz w:val="24"/>
          <w:szCs w:val="24"/>
          <w:lang w:eastAsia="en-SG"/>
        </w:rPr>
        <w:t xml:space="preserve">, October 20, 2015) </w:t>
      </w:r>
      <w:r w:rsidRPr="005F5F47">
        <w:rPr>
          <w:rFonts w:ascii="Times New Roman" w:eastAsia="Times New Roman" w:hAnsi="Times New Roman" w:cs="Times New Roman"/>
          <w:b/>
          <w:bCs/>
          <w:sz w:val="24"/>
          <w:szCs w:val="24"/>
          <w:lang w:eastAsia="en-SG"/>
        </w:rPr>
        <w:t>that Joint Resolution No. 1 was passed</w:t>
      </w:r>
      <w:r w:rsidRPr="005F5F47">
        <w:rPr>
          <w:rFonts w:ascii="Times New Roman" w:eastAsia="Times New Roman" w:hAnsi="Times New Roman" w:cs="Times New Roman"/>
          <w:sz w:val="24"/>
          <w:szCs w:val="24"/>
          <w:lang w:eastAsia="en-SG"/>
        </w:rPr>
        <w:t xml:space="preserve">. To recall, ERC Resolution No. 13, Series of 2015 is the resolution whose effectivity was "restated" by the assailed issuance herein, ERC Resolution No. 01, Series of 2016. In the "whereas clauses" of ERC Resolution No. 13, Series of 2015, DOE Circular No. DC2015-06-0008, which had originally set the parameters of authority of the DOE and the ERC anent the implementation of the CSP, was explicitly recognized, </w:t>
      </w:r>
      <w:r w:rsidRPr="005F5F47">
        <w:rPr>
          <w:rFonts w:ascii="Times New Roman" w:eastAsia="Times New Roman" w:hAnsi="Times New Roman" w:cs="Times New Roman"/>
          <w:i/>
          <w:iCs/>
          <w:sz w:val="24"/>
          <w:szCs w:val="24"/>
          <w:lang w:eastAsia="en-SG"/>
        </w:rPr>
        <w:t>viz</w:t>
      </w:r>
      <w:r w:rsidRPr="005F5F47">
        <w:rPr>
          <w:rFonts w:ascii="Times New Roman" w:eastAsia="Times New Roman" w:hAnsi="Times New Roman" w:cs="Times New Roman"/>
          <w:sz w:val="24"/>
          <w:szCs w:val="24"/>
          <w:lang w:eastAsia="en-SG"/>
        </w:rPr>
        <w:t>.:</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WHEREAS</w:t>
      </w:r>
      <w:r w:rsidRPr="005F5F47">
        <w:rPr>
          <w:rFonts w:ascii="Times New Roman" w:eastAsia="Times New Roman" w:hAnsi="Times New Roman" w:cs="Times New Roman"/>
          <w:sz w:val="24"/>
          <w:szCs w:val="24"/>
          <w:lang w:eastAsia="en-SG"/>
        </w:rPr>
        <w:t xml:space="preserve">, on June 11, 2015, the Department of Energy (DOE) issued Department Circular No. [DC2015-06-0008], </w:t>
      </w:r>
      <w:r w:rsidRPr="005F5F47">
        <w:rPr>
          <w:rFonts w:ascii="Times New Roman" w:eastAsia="Times New Roman" w:hAnsi="Times New Roman" w:cs="Times New Roman"/>
          <w:i/>
          <w:iCs/>
          <w:sz w:val="24"/>
          <w:szCs w:val="24"/>
          <w:lang w:eastAsia="en-SG"/>
        </w:rPr>
        <w:t>Mandating All Distribution Utilities to Undergo Competitive Selection Process (CSP) in Securing Power Supply Agreements (PSA)</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WHEREAS</w:t>
      </w:r>
      <w:r w:rsidRPr="005F5F47">
        <w:rPr>
          <w:rFonts w:ascii="Times New Roman" w:eastAsia="Times New Roman" w:hAnsi="Times New Roman" w:cs="Times New Roman"/>
          <w:sz w:val="24"/>
          <w:szCs w:val="24"/>
          <w:lang w:eastAsia="en-SG"/>
        </w:rPr>
        <w:t xml:space="preserve">, on October 20, 2015, the DOE and the ERC approved the issuance of a Joint </w:t>
      </w:r>
      <w:r w:rsidRPr="005F5F47">
        <w:rPr>
          <w:rFonts w:ascii="Times New Roman" w:eastAsia="Times New Roman" w:hAnsi="Times New Roman" w:cs="Times New Roman"/>
          <w:sz w:val="24"/>
          <w:szCs w:val="24"/>
          <w:lang w:eastAsia="en-SG"/>
        </w:rPr>
        <w:lastRenderedPageBreak/>
        <w:t>Resolution embodying their agreement on the CSP, particularly, that the ERC shall issue the appropriate regulations requiring the DUs to undertake a CSP for the PSAs they will enter into for the supply to their captive market;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WHEREAS</w:t>
      </w:r>
      <w:r w:rsidRPr="005F5F47">
        <w:rPr>
          <w:rFonts w:ascii="Times New Roman" w:eastAsia="Times New Roman" w:hAnsi="Times New Roman" w:cs="Times New Roman"/>
          <w:sz w:val="24"/>
          <w:szCs w:val="24"/>
          <w:lang w:eastAsia="en-SG"/>
        </w:rPr>
        <w:t>, the ERC and the DOE are convinced that there is an advantage to be gained by having a CSP in place, in terms of ensuring transparency in the DUs' supply procurement and providing opportunities to elicit the best price offers and other PSA terms and conditions from suppliers;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As per its terms, ERC Resolution No. 13, Series of 2015 not only sets the guidelines for the design and execution of the CSP, but also clearly supplements DOE Department Circular No. DC2015-06-0008. Thus, it stands to reason that ERC Resolution No. 13, Series of 2015 is the embodiment of the phrase "appropriate regulations" contemplated under the Joint Resolution issued by both agencies to implement the CSP.</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In this case, it is apparent that both the DOE and the ERC are intent on implementing the CSP. </w:t>
      </w:r>
      <w:r w:rsidRPr="005F5F47">
        <w:rPr>
          <w:rFonts w:ascii="Times New Roman" w:eastAsia="Times New Roman" w:hAnsi="Times New Roman" w:cs="Times New Roman"/>
          <w:b/>
          <w:bCs/>
          <w:sz w:val="24"/>
          <w:szCs w:val="24"/>
          <w:u w:val="single"/>
          <w:lang w:eastAsia="en-SG"/>
        </w:rPr>
        <w:t xml:space="preserve">DOE Department Circular No. DC2015-06-0008 already mandated that upon its </w:t>
      </w:r>
      <w:proofErr w:type="spellStart"/>
      <w:r w:rsidRPr="005F5F47">
        <w:rPr>
          <w:rFonts w:ascii="Times New Roman" w:eastAsia="Times New Roman" w:hAnsi="Times New Roman" w:cs="Times New Roman"/>
          <w:b/>
          <w:bCs/>
          <w:sz w:val="24"/>
          <w:szCs w:val="24"/>
          <w:u w:val="single"/>
          <w:lang w:eastAsia="en-SG"/>
        </w:rPr>
        <w:t>effeetivity</w:t>
      </w:r>
      <w:proofErr w:type="spellEnd"/>
      <w:r w:rsidRPr="005F5F47">
        <w:rPr>
          <w:rFonts w:ascii="Times New Roman" w:eastAsia="Times New Roman" w:hAnsi="Times New Roman" w:cs="Times New Roman"/>
          <w:b/>
          <w:bCs/>
          <w:sz w:val="24"/>
          <w:szCs w:val="24"/>
          <w:u w:val="single"/>
          <w:lang w:eastAsia="en-SG"/>
        </w:rPr>
        <w:t xml:space="preserve"> on June 30</w:t>
      </w:r>
      <w:proofErr w:type="gramStart"/>
      <w:r w:rsidRPr="005F5F47">
        <w:rPr>
          <w:rFonts w:ascii="Times New Roman" w:eastAsia="Times New Roman" w:hAnsi="Times New Roman" w:cs="Times New Roman"/>
          <w:b/>
          <w:bCs/>
          <w:sz w:val="24"/>
          <w:szCs w:val="24"/>
          <w:u w:val="single"/>
          <w:lang w:eastAsia="en-SG"/>
        </w:rPr>
        <w:t>,2015</w:t>
      </w:r>
      <w:proofErr w:type="gramEnd"/>
      <w:r w:rsidRPr="005F5F47">
        <w:rPr>
          <w:rFonts w:ascii="Times New Roman" w:eastAsia="Times New Roman" w:hAnsi="Times New Roman" w:cs="Times New Roman"/>
          <w:b/>
          <w:bCs/>
          <w:sz w:val="24"/>
          <w:szCs w:val="24"/>
          <w:u w:val="single"/>
          <w:lang w:eastAsia="en-SG"/>
        </w:rPr>
        <w:t>, all DUs shall procure PSAs only through the CSP.</w:t>
      </w:r>
      <w:r w:rsidRPr="005F5F47">
        <w:rPr>
          <w:rFonts w:ascii="Times New Roman" w:eastAsia="Times New Roman" w:hAnsi="Times New Roman" w:cs="Times New Roman"/>
          <w:sz w:val="24"/>
          <w:szCs w:val="24"/>
          <w:lang w:eastAsia="en-SG"/>
        </w:rPr>
        <w:t xml:space="preserve"> However, as noted in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the ERC, unilaterally postponed the date of effectivity of the CSP from June 30, 2015 to November 7, 2015, marking the first postponement by the ERC of the effectivity of the mandatory CSP</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20]</w:t>
      </w:r>
      <w:r w:rsidRPr="005F5F47">
        <w:rPr>
          <w:rFonts w:ascii="Times New Roman" w:eastAsia="Times New Roman" w:hAnsi="Times New Roman" w:cs="Times New Roman"/>
          <w:sz w:val="24"/>
          <w:szCs w:val="24"/>
          <w:lang w:eastAsia="en-SG"/>
        </w:rPr>
        <w:t xml:space="preserve"> This appears to be in pursuance of the first paragraph of Section 4 of ERC Resolution No. 13, Series of 2015, which reads: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Section 4. Applicability. - The CSP requirement herein mandated shall not apply to PSAs already filed with the ERC as of the effectivity of this Resolution [(</w:t>
      </w:r>
      <w:r w:rsidRPr="005F5F47">
        <w:rPr>
          <w:rFonts w:ascii="Times New Roman" w:eastAsia="Times New Roman" w:hAnsi="Times New Roman" w:cs="Times New Roman"/>
          <w:i/>
          <w:iCs/>
          <w:sz w:val="24"/>
          <w:szCs w:val="24"/>
          <w:lang w:eastAsia="en-SG"/>
        </w:rPr>
        <w:t>i.e.</w:t>
      </w:r>
      <w:r w:rsidRPr="005F5F47">
        <w:rPr>
          <w:rFonts w:ascii="Times New Roman" w:eastAsia="Times New Roman" w:hAnsi="Times New Roman" w:cs="Times New Roman"/>
          <w:sz w:val="24"/>
          <w:szCs w:val="24"/>
          <w:lang w:eastAsia="en-SG"/>
        </w:rPr>
        <w:t>, November 7, 2015)]. For PSAs already executed but are not yet filed or for those that are still in the process of negotiation, the concerned DUs are directed to comply with the CSP requirement before their PSA applications will be accepted by the ERC.</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The implementation of the CSP requirement was further stalled by the ERC for another five (5) months, particularly, up until April 30, 2016, through the issuance of ERC Resolution No. 01, Series of 2016.</w:t>
      </w:r>
      <w:r w:rsidRPr="005F5F47">
        <w:rPr>
          <w:rFonts w:ascii="Times New Roman" w:eastAsia="Times New Roman" w:hAnsi="Times New Roman" w:cs="Times New Roman"/>
          <w:color w:val="FF0000"/>
          <w:sz w:val="24"/>
          <w:szCs w:val="24"/>
          <w:vertAlign w:val="superscript"/>
          <w:lang w:eastAsia="en-SG"/>
        </w:rPr>
        <w:t>[21]</w:t>
      </w:r>
      <w:r w:rsidRPr="005F5F47">
        <w:rPr>
          <w:rFonts w:ascii="Times New Roman" w:eastAsia="Times New Roman" w:hAnsi="Times New Roman" w:cs="Times New Roman"/>
          <w:sz w:val="24"/>
          <w:szCs w:val="24"/>
          <w:lang w:eastAsia="en-SG"/>
        </w:rPr>
        <w:t xml:space="preserve"> The main reason for this subsequent postponement was the "several letters from stakeholders"</w:t>
      </w:r>
      <w:r w:rsidRPr="005F5F47">
        <w:rPr>
          <w:rFonts w:ascii="Times New Roman" w:eastAsia="Times New Roman" w:hAnsi="Times New Roman" w:cs="Times New Roman"/>
          <w:color w:val="FF0000"/>
          <w:sz w:val="24"/>
          <w:szCs w:val="24"/>
          <w:vertAlign w:val="superscript"/>
          <w:lang w:eastAsia="en-SG"/>
        </w:rPr>
        <w:t>[22]</w:t>
      </w:r>
      <w:r w:rsidRPr="005F5F47">
        <w:rPr>
          <w:rFonts w:ascii="Times New Roman" w:eastAsia="Times New Roman" w:hAnsi="Times New Roman" w:cs="Times New Roman"/>
          <w:sz w:val="24"/>
          <w:szCs w:val="24"/>
          <w:lang w:eastAsia="en-SG"/>
        </w:rPr>
        <w:t xml:space="preserve"> received by the ERC expressing certain reservations anent the implementation thereof.</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As I see it, ERC Resolution No. 01, Series of 2016 cannot qualify as a supplemental guideline for the design and execution of the CSP as contemplated under the ERC's delegated authority pursuant to Section 4 of DOE Department Circular No. DC2015-06-0008. Contrary to the very nature of a supplemental guideline, ERC Resolution No. 01, Series of 2016 does not merely add or clarify the existing regulations on the CSP, but rather completely halts its implementation. Accordingly, it cannot fall under the phrase "appropriate regulations" under Section 1 of Joint Resolution No. 1, as agreed upon by the DOE and the ERC. To reiterate, the ERC was not given sole discretion under Joint Resolution No. 1 to promulgate whatever rules it deems fit to implement the CSP. This is, in fact, further confirmed by the Comment of the DOE itself wherein it denied any responsibility in the ERC's restatement of the CSP's date of effectivity:</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15. </w:t>
      </w:r>
      <w:r w:rsidRPr="005F5F47">
        <w:rPr>
          <w:rFonts w:ascii="Times New Roman" w:eastAsia="Times New Roman" w:hAnsi="Times New Roman" w:cs="Times New Roman"/>
          <w:b/>
          <w:bCs/>
          <w:sz w:val="24"/>
          <w:szCs w:val="24"/>
          <w:lang w:eastAsia="en-SG"/>
        </w:rPr>
        <w:t>DOE is not aware of the cut-off date shift.</w:t>
      </w:r>
      <w:r w:rsidRPr="005F5F47">
        <w:rPr>
          <w:rFonts w:ascii="Times New Roman" w:eastAsia="Times New Roman" w:hAnsi="Times New Roman" w:cs="Times New Roman"/>
          <w:sz w:val="24"/>
          <w:szCs w:val="24"/>
          <w:lang w:eastAsia="en-SG"/>
        </w:rPr>
        <w:t xml:space="preserve"> There is nothing on record that ERC, </w:t>
      </w:r>
      <w:r w:rsidRPr="005F5F47">
        <w:rPr>
          <w:rFonts w:ascii="Times New Roman" w:eastAsia="Times New Roman" w:hAnsi="Times New Roman" w:cs="Times New Roman"/>
          <w:b/>
          <w:bCs/>
          <w:sz w:val="24"/>
          <w:szCs w:val="24"/>
          <w:lang w:eastAsia="en-SG"/>
        </w:rPr>
        <w:t>contrary to Section 4 of the [2015] DOE Circular</w:t>
      </w:r>
      <w:r w:rsidRPr="005F5F47">
        <w:rPr>
          <w:rFonts w:ascii="Times New Roman" w:eastAsia="Times New Roman" w:hAnsi="Times New Roman" w:cs="Times New Roman"/>
          <w:sz w:val="24"/>
          <w:szCs w:val="24"/>
          <w:lang w:eastAsia="en-SG"/>
        </w:rPr>
        <w:t>, coordinated with DOE in "restating" the date of the effectivity to a later date, or from 7 November 2015 to 30 April 2016 for a period of one-hundred and seventy-five (175) days</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23]</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lastRenderedPageBreak/>
        <w:t>In fine, since the ERC had no authority to suspend the implementation of the CSP on its own, it gravely abused its discretion in issuing ERC Resolution No. 01, Series of 2016 and hence, ought to be declared void.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however, proceeds to also invalidate the first paragraph of Section 4 of ERC Resolution No. 13, Series of 2015, as the said provision marked the first postponement of the CSP implementation from June 30, 2015 (as per the original DOE Circular) to November 7, 2015. As the dispositive of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reads: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WHEREFORE</w:t>
      </w:r>
      <w:r w:rsidRPr="005F5F47">
        <w:rPr>
          <w:rFonts w:ascii="Times New Roman" w:eastAsia="Times New Roman" w:hAnsi="Times New Roman" w:cs="Times New Roman"/>
          <w:sz w:val="24"/>
          <w:szCs w:val="24"/>
          <w:lang w:eastAsia="en-SG"/>
        </w:rPr>
        <w:t xml:space="preserve">, the petition for </w:t>
      </w:r>
      <w:r w:rsidRPr="005F5F47">
        <w:rPr>
          <w:rFonts w:ascii="Times New Roman" w:eastAsia="Times New Roman" w:hAnsi="Times New Roman" w:cs="Times New Roman"/>
          <w:i/>
          <w:iCs/>
          <w:sz w:val="24"/>
          <w:szCs w:val="24"/>
          <w:lang w:eastAsia="en-SG"/>
        </w:rPr>
        <w:t>certiorari</w:t>
      </w:r>
      <w:r w:rsidRPr="005F5F47">
        <w:rPr>
          <w:rFonts w:ascii="Times New Roman" w:eastAsia="Times New Roman" w:hAnsi="Times New Roman" w:cs="Times New Roman"/>
          <w:sz w:val="24"/>
          <w:szCs w:val="24"/>
          <w:lang w:eastAsia="en-SG"/>
        </w:rPr>
        <w:t xml:space="preserve"> and prohibition is </w:t>
      </w:r>
      <w:r w:rsidRPr="005F5F47">
        <w:rPr>
          <w:rFonts w:ascii="Times New Roman" w:eastAsia="Times New Roman" w:hAnsi="Times New Roman" w:cs="Times New Roman"/>
          <w:b/>
          <w:bCs/>
          <w:sz w:val="24"/>
          <w:szCs w:val="24"/>
          <w:lang w:eastAsia="en-SG"/>
        </w:rPr>
        <w:t>GRANTED</w:t>
      </w:r>
      <w:r w:rsidRPr="005F5F47">
        <w:rPr>
          <w:rFonts w:ascii="Times New Roman" w:eastAsia="Times New Roman" w:hAnsi="Times New Roman" w:cs="Times New Roman"/>
          <w:sz w:val="24"/>
          <w:szCs w:val="24"/>
          <w:lang w:eastAsia="en-SG"/>
        </w:rPr>
        <w:t xml:space="preserve">. The first paragraph of Section 4 of the Energy Regulatory Commission Resolution No. 13, Series of 2015 (CSP Guidelines), and the Energy Regulatory Commission Resolution No. 1, Series of 2016 (ERC </w:t>
      </w:r>
      <w:proofErr w:type="spellStart"/>
      <w:r w:rsidRPr="005F5F47">
        <w:rPr>
          <w:rFonts w:ascii="Times New Roman" w:eastAsia="Times New Roman" w:hAnsi="Times New Roman" w:cs="Times New Roman"/>
          <w:sz w:val="24"/>
          <w:szCs w:val="24"/>
          <w:lang w:eastAsia="en-SG"/>
        </w:rPr>
        <w:t>Clarificatory</w:t>
      </w:r>
      <w:proofErr w:type="spellEnd"/>
      <w:r w:rsidRPr="005F5F47">
        <w:rPr>
          <w:rFonts w:ascii="Times New Roman" w:eastAsia="Times New Roman" w:hAnsi="Times New Roman" w:cs="Times New Roman"/>
          <w:sz w:val="24"/>
          <w:szCs w:val="24"/>
          <w:lang w:eastAsia="en-SG"/>
        </w:rPr>
        <w:t xml:space="preserve"> Resolution), are hereby declared </w:t>
      </w:r>
      <w:r w:rsidRPr="005F5F47">
        <w:rPr>
          <w:rFonts w:ascii="Times New Roman" w:eastAsia="Times New Roman" w:hAnsi="Times New Roman" w:cs="Times New Roman"/>
          <w:b/>
          <w:bCs/>
          <w:sz w:val="24"/>
          <w:szCs w:val="24"/>
          <w:lang w:eastAsia="en-SG"/>
        </w:rPr>
        <w:t xml:space="preserve">VOID </w:t>
      </w:r>
      <w:r w:rsidRPr="005F5F47">
        <w:rPr>
          <w:rFonts w:ascii="Times New Roman" w:eastAsia="Times New Roman" w:hAnsi="Times New Roman" w:cs="Times New Roman"/>
          <w:b/>
          <w:bCs/>
          <w:i/>
          <w:iCs/>
          <w:sz w:val="24"/>
          <w:szCs w:val="24"/>
          <w:lang w:eastAsia="en-SG"/>
        </w:rPr>
        <w:t>ab initio</w:t>
      </w:r>
      <w:r w:rsidRPr="005F5F47">
        <w:rPr>
          <w:rFonts w:ascii="Times New Roman" w:eastAsia="Times New Roman" w:hAnsi="Times New Roman" w:cs="Times New Roman"/>
          <w:sz w:val="24"/>
          <w:szCs w:val="24"/>
          <w:lang w:eastAsia="en-SG"/>
        </w:rPr>
        <w:t>. Consequently, all Power Supply Agreement applications submitted by Distribution Utilities to the Energy Regulatory Commission on or after 30 June 2015 shall comply with the Competitive Selection Process in accordance with the Department of Energy Circular No. DC2018-02-0003 (2018 DOE Circular) and its Annex "A". Upon compliance with the Competitive Selection Process, the power purchase cost resulting from such compliance shall retroact to the date of effectivity of the complying Power Supply Agreement, but in no case earlier than June 30, 2015, for purpose of passing on the power purchase cost to consumers</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24]</w:t>
      </w:r>
    </w:p>
    <w:p w:rsidR="005F5F47" w:rsidRPr="005F5F47" w:rsidRDefault="005F5F47" w:rsidP="005F5F47">
      <w:pPr>
        <w:spacing w:after="24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Respectfully, I disagree with the holding anent the first paragraph of Section 4 of ERC Resolution No. 13, Series of 2015 because the validity of ERC Resolution No. 13, Series of 2015 was not questioned in the present petition. In any case, it is my view that there was nothing infirm about the failure to implement the CSP by June 30, 2015 and postponing the same to November 7, 2015. This is because the CSP could not have been implemented by the time the original DOE Circular took effect on June 30, 2015 given that there were no proper implementing guidelines at that time. Based on the records, it was only upon the issuance of ERC Resolution No. 13, Series of 2015 (which took effect later on November 7, 2015) that concrete guidelines on the CSP were set. Notably, this latter ERC Resolution was issued on the same day Joint Resolution No. 1 was issued by both the DOE and the ERC, and in this joint resolution, the authority of the ERC to issue the appropriate guidelines to implement the CSP, </w:t>
      </w:r>
      <w:r w:rsidRPr="005F5F47">
        <w:rPr>
          <w:rFonts w:ascii="Times New Roman" w:eastAsia="Times New Roman" w:hAnsi="Times New Roman" w:cs="Times New Roman"/>
          <w:i/>
          <w:iCs/>
          <w:sz w:val="24"/>
          <w:szCs w:val="24"/>
          <w:lang w:eastAsia="en-SG"/>
        </w:rPr>
        <w:t>by agreement of the DOE and the ERC</w:t>
      </w:r>
      <w:r w:rsidRPr="005F5F47">
        <w:rPr>
          <w:rFonts w:ascii="Times New Roman" w:eastAsia="Times New Roman" w:hAnsi="Times New Roman" w:cs="Times New Roman"/>
          <w:sz w:val="24"/>
          <w:szCs w:val="24"/>
          <w:lang w:eastAsia="en-SG"/>
        </w:rPr>
        <w:t>, was recognized. In fact, there is an express statement by the DOE in the original DOE Circular that the ERC was still to issue supplemental guidelines and procedures for the design and execution of the CSP to properly guide the DUs; hence, the immediate effectivity of the CSP requirement could not be reckoned as of June 30, 2015. Accordingly, for these reasons, only ERC Resolution No. 01, Series of 2016 - and not the first paragraph of Section 4 of ERC Resolution No. 13, Series of 2015 - should be declared null and void.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Also, albeit not explicitly expressed in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I caution against the wholesale invalidation of PSAs which were non-compliant with the CSP requirement at the time the said process should have been carried out, which date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pegs on June 30, 2015. Being in the nature of a selection and qualification requirement, compliance with the CSP to already existing - more so, implemented - PSAs appears to be impossible, unless one invalidates the entire contract. Logically speaking, it is highly impracticable to reverse the consummation of acts already done. This being the case, it may be prudent to recognize the validity of the effects of the PSAs already approved prior to the invalidity of ERC Resolution No. 01, Series of 2016, notwithstanding their CSP non-compliance. Lest it be misunderstood, this does not necessarily mean that the approved </w:t>
      </w:r>
      <w:proofErr w:type="gramStart"/>
      <w:r w:rsidRPr="005F5F47">
        <w:rPr>
          <w:rFonts w:ascii="Times New Roman" w:eastAsia="Times New Roman" w:hAnsi="Times New Roman" w:cs="Times New Roman"/>
          <w:sz w:val="24"/>
          <w:szCs w:val="24"/>
          <w:lang w:eastAsia="en-SG"/>
        </w:rPr>
        <w:t>PSAs</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25]</w:t>
      </w:r>
      <w:r w:rsidRPr="005F5F47">
        <w:rPr>
          <w:rFonts w:ascii="Times New Roman" w:eastAsia="Times New Roman" w:hAnsi="Times New Roman" w:cs="Times New Roman"/>
          <w:sz w:val="24"/>
          <w:szCs w:val="24"/>
          <w:lang w:eastAsia="en-SG"/>
        </w:rPr>
        <w:t xml:space="preserve"> shall be valid and effective for their entire full 20 or 21-year term. The compromise to this matter is to only recognize these contracts' validity up until a new DU, </w:t>
      </w:r>
      <w:r w:rsidRPr="005F5F47">
        <w:rPr>
          <w:rFonts w:ascii="Times New Roman" w:eastAsia="Times New Roman" w:hAnsi="Times New Roman" w:cs="Times New Roman"/>
          <w:i/>
          <w:iCs/>
          <w:sz w:val="24"/>
          <w:szCs w:val="24"/>
          <w:u w:val="single"/>
          <w:lang w:eastAsia="en-SG"/>
        </w:rPr>
        <w:t>selected under the applicable CSP process</w:t>
      </w:r>
      <w:r w:rsidRPr="005F5F47">
        <w:rPr>
          <w:rFonts w:ascii="Times New Roman" w:eastAsia="Times New Roman" w:hAnsi="Times New Roman" w:cs="Times New Roman"/>
          <w:sz w:val="24"/>
          <w:szCs w:val="24"/>
          <w:lang w:eastAsia="en-SG"/>
        </w:rPr>
        <w:t xml:space="preserve">, has </w:t>
      </w:r>
      <w:r w:rsidRPr="005F5F47">
        <w:rPr>
          <w:rFonts w:ascii="Times New Roman" w:eastAsia="Times New Roman" w:hAnsi="Times New Roman" w:cs="Times New Roman"/>
          <w:sz w:val="24"/>
          <w:szCs w:val="24"/>
          <w:lang w:eastAsia="en-SG"/>
        </w:rPr>
        <w:lastRenderedPageBreak/>
        <w:t>qualified to take-over the obligations for the remaining period in accordance with the appropriate transitory regulations to be issued by the proper governing agency/agencies. To my mind, this approach balances out the legalistic attribution of the questioned issuance with the practical impact that the afore-discussed declaration would have on the power industry and on a larger scale, the consuming public in general.</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ACCORDINGLY</w:t>
      </w:r>
      <w:r w:rsidRPr="005F5F47">
        <w:rPr>
          <w:rFonts w:ascii="Times New Roman" w:eastAsia="Times New Roman" w:hAnsi="Times New Roman" w:cs="Times New Roman"/>
          <w:sz w:val="24"/>
          <w:szCs w:val="24"/>
          <w:lang w:eastAsia="en-SG"/>
        </w:rPr>
        <w:t xml:space="preserve">, I vote to </w:t>
      </w:r>
      <w:r w:rsidRPr="005F5F47">
        <w:rPr>
          <w:rFonts w:ascii="Times New Roman" w:eastAsia="Times New Roman" w:hAnsi="Times New Roman" w:cs="Times New Roman"/>
          <w:b/>
          <w:bCs/>
          <w:sz w:val="24"/>
          <w:szCs w:val="24"/>
          <w:lang w:eastAsia="en-SG"/>
        </w:rPr>
        <w:t>GRANT</w:t>
      </w:r>
      <w:r w:rsidRPr="005F5F47">
        <w:rPr>
          <w:rFonts w:ascii="Times New Roman" w:eastAsia="Times New Roman" w:hAnsi="Times New Roman" w:cs="Times New Roman"/>
          <w:sz w:val="24"/>
          <w:szCs w:val="24"/>
          <w:lang w:eastAsia="en-SG"/>
        </w:rPr>
        <w:t xml:space="preserve"> the petition based on the qualifications stated above. Energy Regulatory Commission Resolution No. 01, Series of 2016 should be declared </w:t>
      </w:r>
      <w:r w:rsidRPr="005F5F47">
        <w:rPr>
          <w:rFonts w:ascii="Times New Roman" w:eastAsia="Times New Roman" w:hAnsi="Times New Roman" w:cs="Times New Roman"/>
          <w:b/>
          <w:bCs/>
          <w:sz w:val="24"/>
          <w:szCs w:val="24"/>
          <w:lang w:eastAsia="en-SG"/>
        </w:rPr>
        <w:t>INVALID</w:t>
      </w:r>
      <w:r w:rsidRPr="005F5F47">
        <w:rPr>
          <w:rFonts w:ascii="Times New Roman" w:eastAsia="Times New Roman" w:hAnsi="Times New Roman" w:cs="Times New Roman"/>
          <w:sz w:val="24"/>
          <w:szCs w:val="24"/>
          <w:lang w:eastAsia="en-SG"/>
        </w:rPr>
        <w:t xml:space="preserve"> for having been issued with grave abuse of discretion. Power Supply Agreements approved on or after November 7, 2015, despite non-compliance with the Competitive Selection Process (CSP) requirement, should not </w:t>
      </w:r>
      <w:r w:rsidRPr="005F5F47">
        <w:rPr>
          <w:rFonts w:ascii="Times New Roman" w:eastAsia="Times New Roman" w:hAnsi="Times New Roman" w:cs="Times New Roman"/>
          <w:i/>
          <w:iCs/>
          <w:sz w:val="24"/>
          <w:szCs w:val="24"/>
          <w:lang w:eastAsia="en-SG"/>
        </w:rPr>
        <w:t>per se</w:t>
      </w:r>
      <w:r w:rsidRPr="005F5F47">
        <w:rPr>
          <w:rFonts w:ascii="Times New Roman" w:eastAsia="Times New Roman" w:hAnsi="Times New Roman" w:cs="Times New Roman"/>
          <w:sz w:val="24"/>
          <w:szCs w:val="24"/>
          <w:lang w:eastAsia="en-SG"/>
        </w:rPr>
        <w:t xml:space="preserve"> be invalidated, but shall be subject to the appropriate transitory regulations on the CSP to be issued by the proper governing agency/agencies.</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pict>
          <v:rect id="_x0000_i1038" style="width:270.8pt;height:.75pt" o:hrpct="600" o:hrstd="t" o:hrnoshade="t" o:hr="t" fillcolor="#a0a0a0" stroked="f"/>
        </w:pict>
      </w:r>
    </w:p>
    <w:p w:rsidR="005F5F47" w:rsidRPr="005F5F47" w:rsidRDefault="005F5F47" w:rsidP="005F5F47">
      <w:pPr>
        <w:spacing w:after="24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color w:val="FF0000"/>
          <w:sz w:val="24"/>
          <w:szCs w:val="24"/>
          <w:vertAlign w:val="superscript"/>
          <w:lang w:eastAsia="en-SG"/>
        </w:rPr>
        <w:t>[1]</w:t>
      </w:r>
      <w:r w:rsidRPr="005F5F47">
        <w:rPr>
          <w:rFonts w:ascii="Times New Roman" w:eastAsia="Times New Roman" w:hAnsi="Times New Roman" w:cs="Times New Roman"/>
          <w:sz w:val="24"/>
          <w:szCs w:val="24"/>
          <w:lang w:eastAsia="en-SG"/>
        </w:rPr>
        <w:t xml:space="preserve"> Entitled "A RESOLUTION CLARIFYING THE EFFECTIVITY OF ERC RESOLUTION NO. 13, SERIES OF 2015," issued on March 15, 2016.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w:t>
      </w:r>
      <w:r w:rsidRPr="005F5F47">
        <w:rPr>
          <w:rFonts w:ascii="Times New Roman" w:eastAsia="Times New Roman" w:hAnsi="Times New Roman" w:cs="Times New Roman"/>
          <w:sz w:val="24"/>
          <w:szCs w:val="24"/>
          <w:lang w:eastAsia="en-SG"/>
        </w:rPr>
        <w:t xml:space="preserve"> Issued on October 20, 2015.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w:t>
      </w:r>
      <w:r w:rsidRPr="005F5F47">
        <w:rPr>
          <w:rFonts w:ascii="Times New Roman" w:eastAsia="Times New Roman" w:hAnsi="Times New Roman" w:cs="Times New Roman"/>
          <w:sz w:val="24"/>
          <w:szCs w:val="24"/>
          <w:lang w:eastAsia="en-SG"/>
        </w:rPr>
        <w:t xml:space="preserve"> See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pp. 12-13.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w:t>
      </w:r>
      <w:r w:rsidRPr="005F5F47">
        <w:rPr>
          <w:rFonts w:ascii="Times New Roman" w:eastAsia="Times New Roman" w:hAnsi="Times New Roman" w:cs="Times New Roman"/>
          <w:sz w:val="24"/>
          <w:szCs w:val="24"/>
          <w:lang w:eastAsia="en-SG"/>
        </w:rPr>
        <w:t xml:space="preserve"> Issued on June 11, 2015.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w:t>
      </w:r>
      <w:r w:rsidRPr="005F5F47">
        <w:rPr>
          <w:rFonts w:ascii="Times New Roman" w:eastAsia="Times New Roman" w:hAnsi="Times New Roman" w:cs="Times New Roman"/>
          <w:sz w:val="24"/>
          <w:szCs w:val="24"/>
          <w:lang w:eastAsia="en-SG"/>
        </w:rPr>
        <w:t xml:space="preserve"> DOE Circular, Section 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w:t>
      </w:r>
      <w:r w:rsidRPr="005F5F47">
        <w:rPr>
          <w:rFonts w:ascii="Times New Roman" w:eastAsia="Times New Roman" w:hAnsi="Times New Roman" w:cs="Times New Roman"/>
          <w:sz w:val="24"/>
          <w:szCs w:val="24"/>
          <w:lang w:eastAsia="en-SG"/>
        </w:rPr>
        <w:t xml:space="preserve"> Entitled "ADOPTING AND PRESCRIBING THE POLICY FOR THE COMPETITIVE SELECTION PROCESS IN THE PROCUREMENT BY THE DISTRIBUTION UTILITIES OF POWER SUPPLY AGREEMENT FOR THE CAPTIVE MARKET."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w:t>
      </w:r>
      <w:r w:rsidRPr="005F5F47">
        <w:rPr>
          <w:rFonts w:ascii="Times New Roman" w:eastAsia="Times New Roman" w:hAnsi="Times New Roman" w:cs="Times New Roman"/>
          <w:sz w:val="24"/>
          <w:szCs w:val="24"/>
          <w:lang w:eastAsia="en-SG"/>
        </w:rPr>
        <w:t xml:space="preserve"> Section 3.8 of Department of Energy Circular No. DC2018-02-0003, Annex "A".</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w:t>
      </w:r>
      <w:r w:rsidRPr="005F5F47">
        <w:rPr>
          <w:rFonts w:ascii="Times New Roman" w:eastAsia="Times New Roman" w:hAnsi="Times New Roman" w:cs="Times New Roman"/>
          <w:sz w:val="24"/>
          <w:szCs w:val="24"/>
          <w:lang w:eastAsia="en-SG"/>
        </w:rPr>
        <w:t xml:space="preserve"> Entitled "AN ACT ORDAINING REFORMS IN THE ELECTRIC POWER INDUSTRY, AMENDING FOR THE PURPOSE CERTAIN LAWS AND FOR OTHER PURPOSES," approved on June 8, 2001.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w:t>
      </w:r>
      <w:r w:rsidRPr="005F5F47">
        <w:rPr>
          <w:rFonts w:ascii="Times New Roman" w:eastAsia="Times New Roman" w:hAnsi="Times New Roman" w:cs="Times New Roman"/>
          <w:sz w:val="24"/>
          <w:szCs w:val="24"/>
          <w:lang w:eastAsia="en-SG"/>
        </w:rPr>
        <w:t xml:space="preserve"> EPIRA, Chapter I, Section 2 (c); emphasis and underscoring supplied.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[10]</w:t>
      </w:r>
      <w:r w:rsidRPr="005F5F47">
        <w:rPr>
          <w:rFonts w:ascii="Times New Roman" w:eastAsia="Times New Roman" w:hAnsi="Times New Roman" w:cs="Times New Roman"/>
          <w:sz w:val="24"/>
          <w:szCs w:val="24"/>
          <w:lang w:eastAsia="en-SG"/>
        </w:rPr>
        <w:t xml:space="preserve"> EPIRA, Chapter III, Section 37 (p).</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[11]</w:t>
      </w:r>
      <w:r w:rsidRPr="005F5F47">
        <w:rPr>
          <w:rFonts w:ascii="Times New Roman" w:eastAsia="Times New Roman" w:hAnsi="Times New Roman" w:cs="Times New Roman"/>
          <w:sz w:val="24"/>
          <w:szCs w:val="24"/>
          <w:lang w:eastAsia="en-SG"/>
        </w:rPr>
        <w:t xml:space="preserve"> Section 4 (b), Rule 3 of the EPIRA IRR.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[12]</w:t>
      </w:r>
      <w:r w:rsidRPr="005F5F47">
        <w:rPr>
          <w:rFonts w:ascii="Times New Roman" w:eastAsia="Times New Roman" w:hAnsi="Times New Roman" w:cs="Times New Roman"/>
          <w:sz w:val="24"/>
          <w:szCs w:val="24"/>
          <w:lang w:eastAsia="en-SG"/>
        </w:rPr>
        <w:t xml:space="preserve"> See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p. 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[13]</w:t>
      </w:r>
      <w:r w:rsidRPr="005F5F47">
        <w:rPr>
          <w:rFonts w:ascii="Times New Roman" w:eastAsia="Times New Roman" w:hAnsi="Times New Roman" w:cs="Times New Roman"/>
          <w:sz w:val="24"/>
          <w:szCs w:val="24"/>
          <w:lang w:eastAsia="en-SG"/>
        </w:rPr>
        <w:t xml:space="preserve"> Emphases supplied.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[14]</w:t>
      </w:r>
      <w:r w:rsidRPr="005F5F47">
        <w:rPr>
          <w:rFonts w:ascii="Times New Roman" w:eastAsia="Times New Roman" w:hAnsi="Times New Roman" w:cs="Times New Roman"/>
          <w:sz w:val="24"/>
          <w:szCs w:val="24"/>
          <w:lang w:eastAsia="en-SG"/>
        </w:rPr>
        <w:t xml:space="preserve"> Emphases and underscoring supplied.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[15]</w:t>
      </w:r>
      <w:r w:rsidRPr="005F5F47">
        <w:rPr>
          <w:rFonts w:ascii="Times New Roman" w:eastAsia="Times New Roman" w:hAnsi="Times New Roman" w:cs="Times New Roman"/>
          <w:sz w:val="24"/>
          <w:szCs w:val="24"/>
          <w:lang w:eastAsia="en-SG"/>
        </w:rPr>
        <w:t xml:space="preserve"> Repealed under Section 16.1 of DOE Department Circular No. DC2018-02-0003.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lastRenderedPageBreak/>
        <w:t>[16]</w:t>
      </w:r>
      <w:r w:rsidRPr="005F5F47">
        <w:rPr>
          <w:rFonts w:ascii="Times New Roman" w:eastAsia="Times New Roman" w:hAnsi="Times New Roman" w:cs="Times New Roman"/>
          <w:sz w:val="24"/>
          <w:szCs w:val="24"/>
          <w:lang w:eastAsia="en-SG"/>
        </w:rPr>
        <w:t xml:space="preserve"> Underscoring supplied.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[17]</w:t>
      </w:r>
      <w:r w:rsidRPr="005F5F47">
        <w:rPr>
          <w:rFonts w:ascii="Times New Roman" w:eastAsia="Times New Roman" w:hAnsi="Times New Roman" w:cs="Times New Roman"/>
          <w:sz w:val="24"/>
          <w:szCs w:val="24"/>
          <w:lang w:eastAsia="en-SG"/>
        </w:rPr>
        <w:t xml:space="preserve"> Section 6. Monitoring, Enforcement and Compliance. </w:t>
      </w:r>
      <w:r w:rsidRPr="005F5F47">
        <w:rPr>
          <w:rFonts w:ascii="Times New Roman" w:eastAsia="Times New Roman" w:hAnsi="Times New Roman" w:cs="Times New Roman"/>
          <w:sz w:val="24"/>
          <w:szCs w:val="24"/>
          <w:u w:val="single"/>
          <w:lang w:eastAsia="en-SG"/>
        </w:rPr>
        <w:t>The DOE</w:t>
      </w:r>
      <w:r w:rsidRPr="005F5F47">
        <w:rPr>
          <w:rFonts w:ascii="Times New Roman" w:eastAsia="Times New Roman" w:hAnsi="Times New Roman" w:cs="Times New Roman"/>
          <w:sz w:val="24"/>
          <w:szCs w:val="24"/>
          <w:lang w:eastAsia="en-SG"/>
        </w:rPr>
        <w:t xml:space="preserve"> through the Electric Power Industry Management Bureau (EPIMB), </w:t>
      </w:r>
      <w:r w:rsidRPr="005F5F47">
        <w:rPr>
          <w:rFonts w:ascii="Times New Roman" w:eastAsia="Times New Roman" w:hAnsi="Times New Roman" w:cs="Times New Roman"/>
          <w:sz w:val="24"/>
          <w:szCs w:val="24"/>
          <w:u w:val="single"/>
          <w:lang w:eastAsia="en-SG"/>
        </w:rPr>
        <w:t>together with the ERC</w:t>
      </w:r>
      <w:r w:rsidRPr="005F5F47">
        <w:rPr>
          <w:rFonts w:ascii="Times New Roman" w:eastAsia="Times New Roman" w:hAnsi="Times New Roman" w:cs="Times New Roman"/>
          <w:sz w:val="24"/>
          <w:szCs w:val="24"/>
          <w:lang w:eastAsia="en-SG"/>
        </w:rPr>
        <w:t xml:space="preserve">, shall monitor </w:t>
      </w:r>
      <w:r w:rsidRPr="005F5F47">
        <w:rPr>
          <w:rFonts w:ascii="Times New Roman" w:eastAsia="Times New Roman" w:hAnsi="Times New Roman" w:cs="Times New Roman"/>
          <w:sz w:val="24"/>
          <w:szCs w:val="24"/>
          <w:u w:val="single"/>
          <w:lang w:eastAsia="en-SG"/>
        </w:rPr>
        <w:t>compliance with the conditions of the CSPs</w:t>
      </w:r>
      <w:r w:rsidRPr="005F5F47">
        <w:rPr>
          <w:rFonts w:ascii="Times New Roman" w:eastAsia="Times New Roman" w:hAnsi="Times New Roman" w:cs="Times New Roman"/>
          <w:sz w:val="24"/>
          <w:szCs w:val="24"/>
          <w:lang w:eastAsia="en-SG"/>
        </w:rPr>
        <w:t xml:space="preserve"> and the compliance with the provisions of PSAs.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[18]</w:t>
      </w:r>
      <w:r w:rsidRPr="005F5F47">
        <w:rPr>
          <w:rFonts w:ascii="Times New Roman" w:eastAsia="Times New Roman" w:hAnsi="Times New Roman" w:cs="Times New Roman"/>
          <w:sz w:val="24"/>
          <w:szCs w:val="24"/>
          <w:lang w:eastAsia="en-SG"/>
        </w:rPr>
        <w:t xml:space="preserve"> Joint Resolution No. 1, Section 1; emphasis and underscoring supplied.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[19]</w:t>
      </w:r>
      <w:r w:rsidRPr="005F5F47">
        <w:rPr>
          <w:rFonts w:ascii="Times New Roman" w:eastAsia="Times New Roman" w:hAnsi="Times New Roman" w:cs="Times New Roman"/>
          <w:sz w:val="24"/>
          <w:szCs w:val="24"/>
          <w:lang w:eastAsia="en-SG"/>
        </w:rPr>
        <w:t xml:space="preserve"> Notably, however, as discussed in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this authority has already been revoked under DOE Circular No. DC2018-02-0003; see p. 36 of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[20]</w:t>
      </w:r>
      <w:r w:rsidRPr="005F5F47">
        <w:rPr>
          <w:rFonts w:ascii="Times New Roman" w:eastAsia="Times New Roman" w:hAnsi="Times New Roman" w:cs="Times New Roman"/>
          <w:sz w:val="24"/>
          <w:szCs w:val="24"/>
          <w:lang w:eastAsia="en-SG"/>
        </w:rPr>
        <w:t xml:space="preserve"> See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p. 24.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[21]</w:t>
      </w:r>
      <w:r w:rsidRPr="005F5F47">
        <w:rPr>
          <w:rFonts w:ascii="Times New Roman" w:eastAsia="Times New Roman" w:hAnsi="Times New Roman" w:cs="Times New Roman"/>
          <w:sz w:val="24"/>
          <w:szCs w:val="24"/>
          <w:lang w:eastAsia="en-SG"/>
        </w:rPr>
        <w:t xml:space="preserve"> See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[22]</w:t>
      </w:r>
      <w:r w:rsidRPr="005F5F47">
        <w:rPr>
          <w:rFonts w:ascii="Times New Roman" w:eastAsia="Times New Roman" w:hAnsi="Times New Roman" w:cs="Times New Roman"/>
          <w:sz w:val="24"/>
          <w:szCs w:val="24"/>
          <w:lang w:eastAsia="en-SG"/>
        </w:rPr>
        <w:t xml:space="preserve"> See 7</w:t>
      </w:r>
      <w:r w:rsidRPr="005F5F47">
        <w:rPr>
          <w:rFonts w:ascii="Times New Roman" w:eastAsia="Times New Roman" w:hAnsi="Times New Roman" w:cs="Times New Roman"/>
          <w:sz w:val="24"/>
          <w:szCs w:val="24"/>
          <w:vertAlign w:val="superscript"/>
          <w:lang w:eastAsia="en-SG"/>
        </w:rPr>
        <w:t>th</w:t>
      </w:r>
      <w:r w:rsidRPr="005F5F47">
        <w:rPr>
          <w:rFonts w:ascii="Times New Roman" w:eastAsia="Times New Roman" w:hAnsi="Times New Roman" w:cs="Times New Roman"/>
          <w:sz w:val="24"/>
          <w:szCs w:val="24"/>
          <w:lang w:eastAsia="en-SG"/>
        </w:rPr>
        <w:t xml:space="preserve"> Whereas Clause, Resolution No. 01, Series of 2016.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[23]</w:t>
      </w:r>
      <w:r w:rsidRPr="005F5F47">
        <w:rPr>
          <w:rFonts w:ascii="Times New Roman" w:eastAsia="Times New Roman" w:hAnsi="Times New Roman" w:cs="Times New Roman"/>
          <w:sz w:val="24"/>
          <w:szCs w:val="24"/>
          <w:lang w:eastAsia="en-SG"/>
        </w:rPr>
        <w:t xml:space="preserve"> See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p. 26; emphasis supplied.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[24]</w:t>
      </w:r>
      <w:r w:rsidRPr="005F5F47">
        <w:rPr>
          <w:rFonts w:ascii="Times New Roman" w:eastAsia="Times New Roman" w:hAnsi="Times New Roman" w:cs="Times New Roman"/>
          <w:sz w:val="24"/>
          <w:szCs w:val="24"/>
          <w:lang w:eastAsia="en-SG"/>
        </w:rPr>
        <w:t xml:space="preserve"> Id. at 36.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[25]</w:t>
      </w:r>
      <w:r w:rsidRPr="005F5F47">
        <w:rPr>
          <w:rFonts w:ascii="Times New Roman" w:eastAsia="Times New Roman" w:hAnsi="Times New Roman" w:cs="Times New Roman"/>
          <w:sz w:val="24"/>
          <w:szCs w:val="24"/>
          <w:lang w:eastAsia="en-SG"/>
        </w:rPr>
        <w:t xml:space="preserve"> See id. </w:t>
      </w:r>
      <w:proofErr w:type="gramStart"/>
      <w:r w:rsidRPr="005F5F47">
        <w:rPr>
          <w:rFonts w:ascii="Times New Roman" w:eastAsia="Times New Roman" w:hAnsi="Times New Roman" w:cs="Times New Roman"/>
          <w:sz w:val="24"/>
          <w:szCs w:val="24"/>
          <w:lang w:eastAsia="en-SG"/>
        </w:rPr>
        <w:t>at</w:t>
      </w:r>
      <w:proofErr w:type="gramEnd"/>
      <w:r w:rsidRPr="005F5F47">
        <w:rPr>
          <w:rFonts w:ascii="Times New Roman" w:eastAsia="Times New Roman" w:hAnsi="Times New Roman" w:cs="Times New Roman"/>
          <w:sz w:val="24"/>
          <w:szCs w:val="24"/>
          <w:lang w:eastAsia="en-SG"/>
        </w:rPr>
        <w:t>. 29.</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pict>
          <v:rect id="_x0000_i1039" style="width:270.8pt;height:.75pt" o:hrpct="600" o:hralign="center" o:hrstd="t" o:hrnoshade="t" o:hr="t" fillcolor="#a0a0a0" stroked="f"/>
        </w:pic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p>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DISSENTING OPINION</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br/>
        <w:t>CAGUIOA, J.:</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 dissent: for the principal reason that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fails to appreciate — and, in the process, unduly undermines — the singular role and duty of the Energy Regulatory Commission (ERC) to act as the industry's independent regulator that has, under the explicit language of the Electric Power Industry Reform Act of 2001</w:t>
      </w:r>
      <w:r w:rsidRPr="005F5F47">
        <w:rPr>
          <w:rFonts w:ascii="Times New Roman" w:eastAsia="Times New Roman" w:hAnsi="Times New Roman" w:cs="Times New Roman"/>
          <w:color w:val="FF0000"/>
          <w:sz w:val="24"/>
          <w:szCs w:val="24"/>
          <w:vertAlign w:val="superscript"/>
          <w:lang w:eastAsia="en-SG"/>
        </w:rPr>
        <w:t>[1]</w:t>
      </w:r>
      <w:r w:rsidRPr="005F5F47">
        <w:rPr>
          <w:rFonts w:ascii="Times New Roman" w:eastAsia="Times New Roman" w:hAnsi="Times New Roman" w:cs="Times New Roman"/>
          <w:sz w:val="24"/>
          <w:szCs w:val="24"/>
          <w:lang w:eastAsia="en-SG"/>
        </w:rPr>
        <w:t xml:space="preserve"> (EPIRA), the exclusive mandate as to the implementation, the specific requirements, and effectivity date, of the Competitive Selection Process (CSP) requirement. The decision here constitutes an unwarranted curtailment of the ERC's powers.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issuance by the ERC of Resolution No. 1, s. 2016 (Resolution No. 1) creating a transition period for Distribution Utilities (DUs) to comply with the CSP requirement was </w:t>
      </w:r>
      <w:r w:rsidRPr="005F5F47">
        <w:rPr>
          <w:rFonts w:ascii="Times New Roman" w:eastAsia="Times New Roman" w:hAnsi="Times New Roman" w:cs="Times New Roman"/>
          <w:sz w:val="24"/>
          <w:szCs w:val="24"/>
          <w:u w:val="single"/>
          <w:lang w:eastAsia="en-SG"/>
        </w:rPr>
        <w:t>a reasonable well thought-out response</w:t>
      </w:r>
      <w:r w:rsidRPr="005F5F47">
        <w:rPr>
          <w:rFonts w:ascii="Times New Roman" w:eastAsia="Times New Roman" w:hAnsi="Times New Roman" w:cs="Times New Roman"/>
          <w:sz w:val="24"/>
          <w:szCs w:val="24"/>
          <w:lang w:eastAsia="en-SG"/>
        </w:rPr>
        <w:t xml:space="preserve"> to the various concerns posed by DUs, Generation Companies (</w:t>
      </w:r>
      <w:proofErr w:type="spellStart"/>
      <w:r w:rsidRPr="005F5F47">
        <w:rPr>
          <w:rFonts w:ascii="Times New Roman" w:eastAsia="Times New Roman" w:hAnsi="Times New Roman" w:cs="Times New Roman"/>
          <w:sz w:val="24"/>
          <w:szCs w:val="24"/>
          <w:lang w:eastAsia="en-SG"/>
        </w:rPr>
        <w:t>GenCos</w:t>
      </w:r>
      <w:proofErr w:type="spellEnd"/>
      <w:r w:rsidRPr="005F5F47">
        <w:rPr>
          <w:rFonts w:ascii="Times New Roman" w:eastAsia="Times New Roman" w:hAnsi="Times New Roman" w:cs="Times New Roman"/>
          <w:sz w:val="24"/>
          <w:szCs w:val="24"/>
          <w:lang w:eastAsia="en-SG"/>
        </w:rPr>
        <w:t>) and electric cooperatives which arose from the immediate implementation of the CSP. Accordingly, this issuance — that sought to correct what the ERC itself subsequently recognized as an untimely and unrealistic immediate imposition of a requirement that could not reasonably be complied with — was not, as it cannot reasonably be categorized as, arbitrary, whimsical or capricious.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Indeed, it is a doctrine of long-standing that courts will not interfere in matters which are addressed to the sound discretion of the government agency entrusted with regulation of activities coming under the special and technical training and knowledge of such agency.</w:t>
      </w:r>
      <w:r w:rsidRPr="005F5F47">
        <w:rPr>
          <w:rFonts w:ascii="Times New Roman" w:eastAsia="Times New Roman" w:hAnsi="Times New Roman" w:cs="Times New Roman"/>
          <w:color w:val="FF0000"/>
          <w:sz w:val="24"/>
          <w:szCs w:val="24"/>
          <w:vertAlign w:val="superscript"/>
          <w:lang w:eastAsia="en-SG"/>
        </w:rPr>
        <w:t>[2]</w:t>
      </w:r>
      <w:r w:rsidRPr="005F5F47">
        <w:rPr>
          <w:rFonts w:ascii="Times New Roman" w:eastAsia="Times New Roman" w:hAnsi="Times New Roman" w:cs="Times New Roman"/>
          <w:sz w:val="24"/>
          <w:szCs w:val="24"/>
          <w:lang w:eastAsia="en-SG"/>
        </w:rPr>
        <w:t xml:space="preserve"> For the exercise of administrative discretion is a policy decision that necessitates prior </w:t>
      </w:r>
      <w:r w:rsidRPr="005F5F47">
        <w:rPr>
          <w:rFonts w:ascii="Times New Roman" w:eastAsia="Times New Roman" w:hAnsi="Times New Roman" w:cs="Times New Roman"/>
          <w:sz w:val="24"/>
          <w:szCs w:val="24"/>
          <w:lang w:eastAsia="en-SG"/>
        </w:rPr>
        <w:lastRenderedPageBreak/>
        <w:t>inquiry, investigation, comparison, evaluation, and deliberation.</w:t>
      </w:r>
      <w:r w:rsidRPr="005F5F47">
        <w:rPr>
          <w:rFonts w:ascii="Times New Roman" w:eastAsia="Times New Roman" w:hAnsi="Times New Roman" w:cs="Times New Roman"/>
          <w:color w:val="FF0000"/>
          <w:sz w:val="24"/>
          <w:szCs w:val="24"/>
          <w:vertAlign w:val="superscript"/>
          <w:lang w:eastAsia="en-SG"/>
        </w:rPr>
        <w:t>[3]</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i/>
          <w:iCs/>
          <w:sz w:val="24"/>
          <w:szCs w:val="24"/>
          <w:u w:val="single"/>
          <w:lang w:eastAsia="en-SG"/>
        </w:rPr>
        <w:t>This task can best be discharged by the government agency concerned and not by the courts.</w:t>
      </w:r>
      <w:r w:rsidRPr="005F5F47">
        <w:rPr>
          <w:rFonts w:ascii="Times New Roman" w:eastAsia="Times New Roman" w:hAnsi="Times New Roman" w:cs="Times New Roman"/>
          <w:color w:val="FF0000"/>
          <w:sz w:val="24"/>
          <w:szCs w:val="24"/>
          <w:vertAlign w:val="superscript"/>
          <w:lang w:eastAsia="en-SG"/>
        </w:rPr>
        <w:t>[4]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With due respect, the Court oversteps its bounds when it, as here, annuls acts of regulators acting within the bounds of law and their areas of expertise. In ruling in the manner it did,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not only annulled the acts of the ERC but in fact acted as the regulator itself supplanting its wisdom for that of the agency tasked by law to regulate the energy industry and to assure a steady supply of electricity to the country.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in essentially disapproving all the 90 Power Supply Agreements (PSAs) that have been submitted to the ERC between June 30, 2015 and April 30, 2016, has effectively imposed an impossible condition on the PSAs — that they should comply with Department of Energy (DOE) Circular No. DC2018-02-0003 (2018 DOE Circular) when all of them had already been negotiated and executed prior to the effectivity of the 2018 DOE Circular. How this unfortunate decision will impact on the country's electricity supply, only time will tell.</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i/>
          <w:iCs/>
          <w:sz w:val="24"/>
          <w:szCs w:val="24"/>
          <w:lang w:eastAsia="en-SG"/>
        </w:rPr>
        <w:t>A backgrounder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To engender transparency and ensure reasonable prices of electricity in a regime of free and fair competition, the DOE, on June 11, 2015, issued DOE Department Circular No. DC2015-06-0008 (DOE Circular), which mandated the conduct of CSP as a prerequisite to the approval of a PSA. The DOE Circular likewise provided that the ERC, "upon its determination and in coordination with the DOE shall issue supplemental guidelines and procedures to properly guide the DUs and the Third Party in the design and execution of the CSP."</w:t>
      </w:r>
      <w:r w:rsidRPr="005F5F47">
        <w:rPr>
          <w:rFonts w:ascii="Times New Roman" w:eastAsia="Times New Roman" w:hAnsi="Times New Roman" w:cs="Times New Roman"/>
          <w:color w:val="FF0000"/>
          <w:sz w:val="24"/>
          <w:szCs w:val="24"/>
          <w:vertAlign w:val="superscript"/>
          <w:lang w:eastAsia="en-SG"/>
        </w:rPr>
        <w:t>[5]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Subsequently, on October 20, 2015, the DOE and ERC jointly issued Joint Resolution No. 1 (Joint Resolution), entitled "</w:t>
      </w:r>
      <w:r w:rsidRPr="005F5F47">
        <w:rPr>
          <w:rFonts w:ascii="Times New Roman" w:eastAsia="Times New Roman" w:hAnsi="Times New Roman" w:cs="Times New Roman"/>
          <w:i/>
          <w:iCs/>
          <w:sz w:val="24"/>
          <w:szCs w:val="24"/>
          <w:lang w:eastAsia="en-SG"/>
        </w:rPr>
        <w:t>A Resolution Enjoining All Distribution Utilities to Conduct Competitive Selection Process (CSP) in the Procurement of Supply for their Captive Market</w:t>
      </w:r>
      <w:r w:rsidRPr="005F5F47">
        <w:rPr>
          <w:rFonts w:ascii="Times New Roman" w:eastAsia="Times New Roman" w:hAnsi="Times New Roman" w:cs="Times New Roman"/>
          <w:sz w:val="24"/>
          <w:szCs w:val="24"/>
          <w:lang w:eastAsia="en-SG"/>
        </w:rPr>
        <w:t>." Section 1 provides: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Section 1. Competitive Selection Process.</w:t>
      </w:r>
      <w:r w:rsidRPr="005F5F47">
        <w:rPr>
          <w:rFonts w:ascii="Times New Roman" w:eastAsia="Times New Roman" w:hAnsi="Times New Roman" w:cs="Times New Roman"/>
          <w:sz w:val="24"/>
          <w:szCs w:val="24"/>
          <w:lang w:eastAsia="en-SG"/>
        </w:rPr>
        <w:t xml:space="preserve"> Consistent with their respective mandates, the DOE and ERC recognize that Competitive Selection Process (CSP) in the procurement of PSAs by the DUs engenders transparency, enhances security of supply, and ensures stability of electricity prices to captive electricity end-users in the long-term. </w:t>
      </w:r>
      <w:r w:rsidRPr="005F5F47">
        <w:rPr>
          <w:rFonts w:ascii="Times New Roman" w:eastAsia="Times New Roman" w:hAnsi="Times New Roman" w:cs="Times New Roman"/>
          <w:b/>
          <w:bCs/>
          <w:sz w:val="24"/>
          <w:szCs w:val="24"/>
          <w:u w:val="single"/>
          <w:lang w:eastAsia="en-SG"/>
        </w:rPr>
        <w:t>Consequently, by agreement of the DOE and ERC, the ERC shall issue the appropriate regulations to implement the same.</w:t>
      </w:r>
      <w:r w:rsidRPr="005F5F47">
        <w:rPr>
          <w:rFonts w:ascii="Times New Roman" w:eastAsia="Times New Roman" w:hAnsi="Times New Roman" w:cs="Times New Roman"/>
          <w:sz w:val="24"/>
          <w:szCs w:val="24"/>
          <w:lang w:eastAsia="en-SG"/>
        </w:rPr>
        <w:t xml:space="preserve"> (Emphasis and underscoring supplied)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On the same date, the ERC issued Resolution No. 13, s. 2015 (Resolution No. 13) which provided that, pending the issuance of a prescribed CSP, any DU may adopt any accepted form of CSP subject only to minimum standards to be included in the terms of reference. Resolution No. 13 provided that for "PSAs already executed but are not yet filed or for those that are still in the process of negotiation, the concerned DUs are directed to comply with the CSP requirement before their PSA applications will be accepted by the ERC."</w:t>
      </w:r>
      <w:r w:rsidRPr="005F5F47">
        <w:rPr>
          <w:rFonts w:ascii="Times New Roman" w:eastAsia="Times New Roman" w:hAnsi="Times New Roman" w:cs="Times New Roman"/>
          <w:color w:val="FF0000"/>
          <w:sz w:val="24"/>
          <w:szCs w:val="24"/>
          <w:vertAlign w:val="superscript"/>
          <w:lang w:eastAsia="en-SG"/>
        </w:rPr>
        <w:t>[6]</w:t>
      </w:r>
      <w:r w:rsidRPr="005F5F47">
        <w:rPr>
          <w:rFonts w:ascii="Times New Roman" w:eastAsia="Times New Roman" w:hAnsi="Times New Roman" w:cs="Times New Roman"/>
          <w:sz w:val="24"/>
          <w:szCs w:val="24"/>
          <w:lang w:eastAsia="en-SG"/>
        </w:rPr>
        <w:t xml:space="preserve"> It also provided that it shall be effective immediately following its publication in a newspaper of general circulation in the Philippines</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7]</w:t>
      </w:r>
      <w:r w:rsidRPr="005F5F47">
        <w:rPr>
          <w:rFonts w:ascii="Times New Roman" w:eastAsia="Times New Roman" w:hAnsi="Times New Roman" w:cs="Times New Roman"/>
          <w:sz w:val="24"/>
          <w:szCs w:val="24"/>
          <w:lang w:eastAsia="en-SG"/>
        </w:rPr>
        <w:t xml:space="preserve"> which publication was done on November 6, 2015.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However, when various concerns were raised by stakeholders, the ERC addressed these concerns by restating or moving the effectivity of the CSP implementation under Resolution No. 13, from November 7, 2015 to April 30, 2016, through the issuance of Resolution No. 1 which it issued on March 15, 2016.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Petition assails Resolution No. 1 for having allegedly been issued with grave abuse of </w:t>
      </w:r>
      <w:r w:rsidRPr="005F5F47">
        <w:rPr>
          <w:rFonts w:ascii="Times New Roman" w:eastAsia="Times New Roman" w:hAnsi="Times New Roman" w:cs="Times New Roman"/>
          <w:sz w:val="24"/>
          <w:szCs w:val="24"/>
          <w:lang w:eastAsia="en-SG"/>
        </w:rPr>
        <w:lastRenderedPageBreak/>
        <w:t>discretion.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rules that the ERC committed grave abuse of discretion when it issued Resolution No. 1, and goes even beyond the issues of the petition, by declaring as void </w:t>
      </w:r>
      <w:r w:rsidRPr="005F5F47">
        <w:rPr>
          <w:rFonts w:ascii="Times New Roman" w:eastAsia="Times New Roman" w:hAnsi="Times New Roman" w:cs="Times New Roman"/>
          <w:i/>
          <w:iCs/>
          <w:sz w:val="24"/>
          <w:szCs w:val="24"/>
          <w:lang w:eastAsia="en-SG"/>
        </w:rPr>
        <w:t>ab initio</w:t>
      </w:r>
      <w:r w:rsidRPr="005F5F47">
        <w:rPr>
          <w:rFonts w:ascii="Times New Roman" w:eastAsia="Times New Roman" w:hAnsi="Times New Roman" w:cs="Times New Roman"/>
          <w:sz w:val="24"/>
          <w:szCs w:val="24"/>
          <w:lang w:eastAsia="en-SG"/>
        </w:rPr>
        <w:t xml:space="preserve"> the first paragraph of Section 4 of Resolution No. 13.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then directs that all PSAs submitted to the ERC on or after June 30, 2015 should comply with the CSP requirement following 2018 DOE Circular, particularly its Annex "A".</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As stated at the outset, and for the reasons itemized below, I dissent.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i/>
          <w:iCs/>
          <w:sz w:val="24"/>
          <w:szCs w:val="24"/>
          <w:lang w:eastAsia="en-SG"/>
        </w:rPr>
        <w:t>The present case involves questions of fact not cognizable by this Court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At the outset, it should be pointed out that the present case contains several factual matters that are </w:t>
      </w:r>
      <w:r w:rsidRPr="005F5F47">
        <w:rPr>
          <w:rFonts w:ascii="Times New Roman" w:eastAsia="Times New Roman" w:hAnsi="Times New Roman" w:cs="Times New Roman"/>
          <w:b/>
          <w:bCs/>
          <w:sz w:val="24"/>
          <w:szCs w:val="24"/>
          <w:u w:val="single"/>
          <w:lang w:eastAsia="en-SG"/>
        </w:rPr>
        <w:t>not</w:t>
      </w:r>
      <w:r w:rsidRPr="005F5F47">
        <w:rPr>
          <w:rFonts w:ascii="Times New Roman" w:eastAsia="Times New Roman" w:hAnsi="Times New Roman" w:cs="Times New Roman"/>
          <w:sz w:val="24"/>
          <w:szCs w:val="24"/>
          <w:lang w:eastAsia="en-SG"/>
        </w:rPr>
        <w:t xml:space="preserve"> cognizable by the Court, and which should be threshed out before the appropriate forum. Whether the moving of the effective date of the CSP effectively puts the requirement into a "deep freeze," as maintained by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is a factual matter that cannot intelligently be resolved by the Court. As to whether the restatement of the effectivity date of the CSP affected, or will continue to affect, the supply of electricity for the entire country is another matter that should be properly ventilated before a court equipped to receive evidence. As well, the problems that the DUs faced in the immediate effectivity of the requirement — which led them to seek exemption from the CSP requirement, and which later on prompted the ERC to issue Resolution No. 1 — are also better appreciated in the context of actual evidence. In addition, whether the restatement of the effectivity date of the CSP was reasonable, or effective in guaranteeing the steady supply of electricity for the entire country is a factual matter that demands the presentation of evidence. All these factual matters need to be addressed before the Court can even begin to determine whether the ERC's act of issuing Resolution No. 1 can be considered to have been tainted with grave abuse of discretion amounting to lack or excess of jurisdiction.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These factual contentions cannot be resolved in the petition at hand which is an </w:t>
      </w:r>
      <w:r w:rsidRPr="005F5F47">
        <w:rPr>
          <w:rFonts w:ascii="Times New Roman" w:eastAsia="Times New Roman" w:hAnsi="Times New Roman" w:cs="Times New Roman"/>
          <w:b/>
          <w:bCs/>
          <w:i/>
          <w:iCs/>
          <w:sz w:val="24"/>
          <w:szCs w:val="24"/>
          <w:lang w:eastAsia="en-SG"/>
        </w:rPr>
        <w:t>original</w:t>
      </w:r>
      <w:r w:rsidRPr="005F5F47">
        <w:rPr>
          <w:rFonts w:ascii="Times New Roman" w:eastAsia="Times New Roman" w:hAnsi="Times New Roman" w:cs="Times New Roman"/>
          <w:sz w:val="24"/>
          <w:szCs w:val="24"/>
          <w:lang w:eastAsia="en-SG"/>
        </w:rPr>
        <w:t xml:space="preserve"> petition for </w:t>
      </w:r>
      <w:r w:rsidRPr="005F5F47">
        <w:rPr>
          <w:rFonts w:ascii="Times New Roman" w:eastAsia="Times New Roman" w:hAnsi="Times New Roman" w:cs="Times New Roman"/>
          <w:i/>
          <w:iCs/>
          <w:sz w:val="24"/>
          <w:szCs w:val="24"/>
          <w:lang w:eastAsia="en-SG"/>
        </w:rPr>
        <w:t>certiorari</w:t>
      </w:r>
      <w:r w:rsidRPr="005F5F47">
        <w:rPr>
          <w:rFonts w:ascii="Times New Roman" w:eastAsia="Times New Roman" w:hAnsi="Times New Roman" w:cs="Times New Roman"/>
          <w:sz w:val="24"/>
          <w:szCs w:val="24"/>
          <w:lang w:eastAsia="en-SG"/>
        </w:rPr>
        <w:t xml:space="preserve"> and prohibition filed </w:t>
      </w:r>
      <w:r w:rsidRPr="005F5F47">
        <w:rPr>
          <w:rFonts w:ascii="Times New Roman" w:eastAsia="Times New Roman" w:hAnsi="Times New Roman" w:cs="Times New Roman"/>
          <w:b/>
          <w:bCs/>
          <w:i/>
          <w:iCs/>
          <w:sz w:val="24"/>
          <w:szCs w:val="24"/>
          <w:lang w:eastAsia="en-SG"/>
        </w:rPr>
        <w:t>directly</w:t>
      </w:r>
      <w:r w:rsidRPr="005F5F47">
        <w:rPr>
          <w:rFonts w:ascii="Times New Roman" w:eastAsia="Times New Roman" w:hAnsi="Times New Roman" w:cs="Times New Roman"/>
          <w:sz w:val="24"/>
          <w:szCs w:val="24"/>
          <w:lang w:eastAsia="en-SG"/>
        </w:rPr>
        <w:t xml:space="preserve"> to this Court. As the Court </w:t>
      </w:r>
      <w:proofErr w:type="spellStart"/>
      <w:r w:rsidRPr="005F5F47">
        <w:rPr>
          <w:rFonts w:ascii="Times New Roman" w:eastAsia="Times New Roman" w:hAnsi="Times New Roman" w:cs="Times New Roman"/>
          <w:i/>
          <w:iCs/>
          <w:sz w:val="24"/>
          <w:szCs w:val="24"/>
          <w:lang w:eastAsia="en-SG"/>
        </w:rPr>
        <w:t>En</w:t>
      </w:r>
      <w:proofErr w:type="spellEnd"/>
      <w:r w:rsidRPr="005F5F47">
        <w:rPr>
          <w:rFonts w:ascii="Times New Roman" w:eastAsia="Times New Roman" w:hAnsi="Times New Roman" w:cs="Times New Roman"/>
          <w:i/>
          <w:iCs/>
          <w:sz w:val="24"/>
          <w:szCs w:val="24"/>
          <w:lang w:eastAsia="en-SG"/>
        </w:rPr>
        <w:t xml:space="preserve"> Banc</w:t>
      </w:r>
      <w:r w:rsidRPr="005F5F47">
        <w:rPr>
          <w:rFonts w:ascii="Times New Roman" w:eastAsia="Times New Roman" w:hAnsi="Times New Roman" w:cs="Times New Roman"/>
          <w:sz w:val="24"/>
          <w:szCs w:val="24"/>
          <w:lang w:eastAsia="en-SG"/>
        </w:rPr>
        <w:t xml:space="preserve"> recently held in </w:t>
      </w:r>
      <w:proofErr w:type="spellStart"/>
      <w:r w:rsidRPr="005F5F47">
        <w:rPr>
          <w:rFonts w:ascii="Times New Roman" w:eastAsia="Times New Roman" w:hAnsi="Times New Roman" w:cs="Times New Roman"/>
          <w:i/>
          <w:iCs/>
          <w:sz w:val="24"/>
          <w:szCs w:val="24"/>
          <w:lang w:eastAsia="en-SG"/>
        </w:rPr>
        <w:t>Gios</w:t>
      </w:r>
      <w:proofErr w:type="spellEnd"/>
      <w:r w:rsidRPr="005F5F47">
        <w:rPr>
          <w:rFonts w:ascii="Times New Roman" w:eastAsia="Times New Roman" w:hAnsi="Times New Roman" w:cs="Times New Roman"/>
          <w:i/>
          <w:iCs/>
          <w:sz w:val="24"/>
          <w:szCs w:val="24"/>
          <w:lang w:eastAsia="en-SG"/>
        </w:rPr>
        <w:t xml:space="preserve">-Samar, Inc. v. </w:t>
      </w:r>
      <w:proofErr w:type="gramStart"/>
      <w:r w:rsidRPr="005F5F47">
        <w:rPr>
          <w:rFonts w:ascii="Times New Roman" w:eastAsia="Times New Roman" w:hAnsi="Times New Roman" w:cs="Times New Roman"/>
          <w:i/>
          <w:iCs/>
          <w:sz w:val="24"/>
          <w:szCs w:val="24"/>
          <w:lang w:eastAsia="en-SG"/>
        </w:rPr>
        <w:t>DOTC</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8]</w:t>
      </w:r>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i/>
          <w:iCs/>
          <w:sz w:val="24"/>
          <w:szCs w:val="24"/>
          <w:lang w:eastAsia="en-SG"/>
        </w:rPr>
        <w:t>Gios</w:t>
      </w:r>
      <w:proofErr w:type="spellEnd"/>
      <w:r w:rsidRPr="005F5F47">
        <w:rPr>
          <w:rFonts w:ascii="Times New Roman" w:eastAsia="Times New Roman" w:hAnsi="Times New Roman" w:cs="Times New Roman"/>
          <w:i/>
          <w:iCs/>
          <w:sz w:val="24"/>
          <w:szCs w:val="24"/>
          <w:lang w:eastAsia="en-SG"/>
        </w:rPr>
        <w:t>-Samar</w:t>
      </w:r>
      <w:r w:rsidRPr="005F5F47">
        <w:rPr>
          <w:rFonts w:ascii="Times New Roman" w:eastAsia="Times New Roman" w:hAnsi="Times New Roman" w:cs="Times New Roman"/>
          <w:sz w:val="24"/>
          <w:szCs w:val="24"/>
          <w:lang w:eastAsia="en-SG"/>
        </w:rPr>
        <w:t>):</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In fine, while this Court has original and concurrent jurisdiction with the RTC and the CA in the issuance of writs of </w:t>
      </w:r>
      <w:r w:rsidRPr="005F5F47">
        <w:rPr>
          <w:rFonts w:ascii="Times New Roman" w:eastAsia="Times New Roman" w:hAnsi="Times New Roman" w:cs="Times New Roman"/>
          <w:i/>
          <w:iCs/>
          <w:sz w:val="24"/>
          <w:szCs w:val="24"/>
          <w:lang w:eastAsia="en-SG"/>
        </w:rPr>
        <w:t>certiorari</w:t>
      </w:r>
      <w:r w:rsidRPr="005F5F47">
        <w:rPr>
          <w:rFonts w:ascii="Times New Roman" w:eastAsia="Times New Roman" w:hAnsi="Times New Roman" w:cs="Times New Roman"/>
          <w:sz w:val="24"/>
          <w:szCs w:val="24"/>
          <w:lang w:eastAsia="en-SG"/>
        </w:rPr>
        <w:t xml:space="preserve">, prohibition, </w:t>
      </w:r>
      <w:r w:rsidRPr="005F5F47">
        <w:rPr>
          <w:rFonts w:ascii="Times New Roman" w:eastAsia="Times New Roman" w:hAnsi="Times New Roman" w:cs="Times New Roman"/>
          <w:i/>
          <w:iCs/>
          <w:sz w:val="24"/>
          <w:szCs w:val="24"/>
          <w:lang w:eastAsia="en-SG"/>
        </w:rPr>
        <w:t xml:space="preserve">mandamus, quo </w:t>
      </w:r>
      <w:proofErr w:type="spellStart"/>
      <w:r w:rsidRPr="005F5F47">
        <w:rPr>
          <w:rFonts w:ascii="Times New Roman" w:eastAsia="Times New Roman" w:hAnsi="Times New Roman" w:cs="Times New Roman"/>
          <w:i/>
          <w:iCs/>
          <w:sz w:val="24"/>
          <w:szCs w:val="24"/>
          <w:lang w:eastAsia="en-SG"/>
        </w:rPr>
        <w:t>warranto</w:t>
      </w:r>
      <w:proofErr w:type="spellEnd"/>
      <w:r w:rsidRPr="005F5F47">
        <w:rPr>
          <w:rFonts w:ascii="Times New Roman" w:eastAsia="Times New Roman" w:hAnsi="Times New Roman" w:cs="Times New Roman"/>
          <w:sz w:val="24"/>
          <w:szCs w:val="24"/>
          <w:lang w:eastAsia="en-SG"/>
        </w:rPr>
        <w:t xml:space="preserve">, and </w:t>
      </w:r>
      <w:r w:rsidRPr="005F5F47">
        <w:rPr>
          <w:rFonts w:ascii="Times New Roman" w:eastAsia="Times New Roman" w:hAnsi="Times New Roman" w:cs="Times New Roman"/>
          <w:i/>
          <w:iCs/>
          <w:sz w:val="24"/>
          <w:szCs w:val="24"/>
          <w:lang w:eastAsia="en-SG"/>
        </w:rPr>
        <w:t>habeas corpus</w:t>
      </w:r>
      <w:r w:rsidRPr="005F5F47">
        <w:rPr>
          <w:rFonts w:ascii="Times New Roman" w:eastAsia="Times New Roman" w:hAnsi="Times New Roman" w:cs="Times New Roman"/>
          <w:sz w:val="24"/>
          <w:szCs w:val="24"/>
          <w:lang w:eastAsia="en-SG"/>
        </w:rPr>
        <w:t xml:space="preserve"> (extraordinary writs), </w:t>
      </w:r>
      <w:r w:rsidRPr="005F5F47">
        <w:rPr>
          <w:rFonts w:ascii="Times New Roman" w:eastAsia="Times New Roman" w:hAnsi="Times New Roman" w:cs="Times New Roman"/>
          <w:b/>
          <w:bCs/>
          <w:sz w:val="24"/>
          <w:szCs w:val="24"/>
          <w:u w:val="single"/>
          <w:lang w:eastAsia="en-SG"/>
        </w:rPr>
        <w:t>direct recourse to this Court is proper only to seek resolution of questions of law</w:t>
      </w:r>
      <w:r w:rsidRPr="005F5F47">
        <w:rPr>
          <w:rFonts w:ascii="Times New Roman" w:eastAsia="Times New Roman" w:hAnsi="Times New Roman" w:cs="Times New Roman"/>
          <w:sz w:val="24"/>
          <w:szCs w:val="24"/>
          <w:lang w:eastAsia="en-SG"/>
        </w:rPr>
        <w:t xml:space="preserve">. Save for the single specific instance provided by the Constitution under Section 18, Article VII, cases the resolution of which depends on the determination of questions of fact cannot be brought directly before the Court because we are not a trier of facts. </w:t>
      </w:r>
      <w:r w:rsidRPr="005F5F47">
        <w:rPr>
          <w:rFonts w:ascii="Times New Roman" w:eastAsia="Times New Roman" w:hAnsi="Times New Roman" w:cs="Times New Roman"/>
          <w:b/>
          <w:bCs/>
          <w:sz w:val="24"/>
          <w:szCs w:val="24"/>
          <w:u w:val="single"/>
          <w:lang w:eastAsia="en-SG"/>
        </w:rPr>
        <w:t>We are not equipped, either by structure or rule, to receive and evaluate evidence in the first instance; these are the primary functions of the lower courts or regulatory agencies.</w:t>
      </w:r>
      <w:r w:rsidRPr="005F5F47">
        <w:rPr>
          <w:rFonts w:ascii="Times New Roman" w:eastAsia="Times New Roman" w:hAnsi="Times New Roman" w:cs="Times New Roman"/>
          <w:sz w:val="24"/>
          <w:szCs w:val="24"/>
          <w:lang w:eastAsia="en-SG"/>
        </w:rPr>
        <w:t xml:space="preserve"> This is the </w:t>
      </w:r>
      <w:r w:rsidRPr="005F5F47">
        <w:rPr>
          <w:rFonts w:ascii="Times New Roman" w:eastAsia="Times New Roman" w:hAnsi="Times New Roman" w:cs="Times New Roman"/>
          <w:i/>
          <w:iCs/>
          <w:sz w:val="24"/>
          <w:szCs w:val="24"/>
          <w:lang w:eastAsia="en-SG"/>
        </w:rPr>
        <w:t xml:space="preserve">raison </w:t>
      </w:r>
      <w:proofErr w:type="spellStart"/>
      <w:r w:rsidRPr="005F5F47">
        <w:rPr>
          <w:rFonts w:ascii="Times New Roman" w:eastAsia="Times New Roman" w:hAnsi="Times New Roman" w:cs="Times New Roman"/>
          <w:i/>
          <w:iCs/>
          <w:sz w:val="24"/>
          <w:szCs w:val="24"/>
          <w:lang w:eastAsia="en-SG"/>
        </w:rPr>
        <w:t>d'etre</w:t>
      </w:r>
      <w:proofErr w:type="spellEnd"/>
      <w:r w:rsidRPr="005F5F47">
        <w:rPr>
          <w:rFonts w:ascii="Times New Roman" w:eastAsia="Times New Roman" w:hAnsi="Times New Roman" w:cs="Times New Roman"/>
          <w:sz w:val="24"/>
          <w:szCs w:val="24"/>
          <w:lang w:eastAsia="en-SG"/>
        </w:rPr>
        <w:t xml:space="preserve"> behind the doctrine of hierarchy of courts. It operates as a constitutional filtering mechanism designed to enable this Court to focus on the more fundamental tasks assigned to it by the Constitution. It is a bright-line rule which cannot be brushed aside by an invocation of the transcendental importance or constitutional dimension of the issue or cause raised</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9]</w:t>
      </w:r>
      <w:r w:rsidRPr="005F5F47">
        <w:rPr>
          <w:rFonts w:ascii="Times New Roman" w:eastAsia="Times New Roman" w:hAnsi="Times New Roman" w:cs="Times New Roman"/>
          <w:sz w:val="24"/>
          <w:szCs w:val="24"/>
          <w:lang w:eastAsia="en-SG"/>
        </w:rPr>
        <w:t xml:space="preserve"> (Emphasis and underscoring supplied)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Thus,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committed a grave error in taking cognizance of the petition as it violates the long-standing doctrine of hierarchy of courts — a doctrine that, according to the pronouncement of the Court in </w:t>
      </w:r>
      <w:proofErr w:type="spellStart"/>
      <w:r w:rsidRPr="005F5F47">
        <w:rPr>
          <w:rFonts w:ascii="Times New Roman" w:eastAsia="Times New Roman" w:hAnsi="Times New Roman" w:cs="Times New Roman"/>
          <w:i/>
          <w:iCs/>
          <w:sz w:val="24"/>
          <w:szCs w:val="24"/>
          <w:lang w:eastAsia="en-SG"/>
        </w:rPr>
        <w:t>Gios</w:t>
      </w:r>
      <w:proofErr w:type="spellEnd"/>
      <w:r w:rsidRPr="005F5F47">
        <w:rPr>
          <w:rFonts w:ascii="Times New Roman" w:eastAsia="Times New Roman" w:hAnsi="Times New Roman" w:cs="Times New Roman"/>
          <w:i/>
          <w:iCs/>
          <w:sz w:val="24"/>
          <w:szCs w:val="24"/>
          <w:lang w:eastAsia="en-SG"/>
        </w:rPr>
        <w:t>-Samar</w:t>
      </w:r>
      <w:r w:rsidRPr="005F5F47">
        <w:rPr>
          <w:rFonts w:ascii="Times New Roman" w:eastAsia="Times New Roman" w:hAnsi="Times New Roman" w:cs="Times New Roman"/>
          <w:sz w:val="24"/>
          <w:szCs w:val="24"/>
          <w:lang w:eastAsia="en-SG"/>
        </w:rPr>
        <w:t xml:space="preserve">, is not simply a matter of policy but is, in fact, a constitutional imperative. This is so because, to borrow the language of the Court in </w:t>
      </w:r>
      <w:proofErr w:type="spellStart"/>
      <w:r w:rsidRPr="005F5F47">
        <w:rPr>
          <w:rFonts w:ascii="Times New Roman" w:eastAsia="Times New Roman" w:hAnsi="Times New Roman" w:cs="Times New Roman"/>
          <w:i/>
          <w:iCs/>
          <w:sz w:val="24"/>
          <w:szCs w:val="24"/>
          <w:lang w:eastAsia="en-SG"/>
        </w:rPr>
        <w:t>Gios</w:t>
      </w:r>
      <w:proofErr w:type="spellEnd"/>
      <w:r w:rsidRPr="005F5F47">
        <w:rPr>
          <w:rFonts w:ascii="Times New Roman" w:eastAsia="Times New Roman" w:hAnsi="Times New Roman" w:cs="Times New Roman"/>
          <w:i/>
          <w:iCs/>
          <w:sz w:val="24"/>
          <w:szCs w:val="24"/>
          <w:lang w:eastAsia="en-SG"/>
        </w:rPr>
        <w:t>-</w:t>
      </w:r>
      <w:r w:rsidRPr="005F5F47">
        <w:rPr>
          <w:rFonts w:ascii="Times New Roman" w:eastAsia="Times New Roman" w:hAnsi="Times New Roman" w:cs="Times New Roman"/>
          <w:i/>
          <w:iCs/>
          <w:sz w:val="24"/>
          <w:szCs w:val="24"/>
          <w:lang w:eastAsia="en-SG"/>
        </w:rPr>
        <w:lastRenderedPageBreak/>
        <w:t>Samar</w:t>
      </w:r>
      <w:r w:rsidRPr="005F5F47">
        <w:rPr>
          <w:rFonts w:ascii="Times New Roman" w:eastAsia="Times New Roman" w:hAnsi="Times New Roman" w:cs="Times New Roman"/>
          <w:sz w:val="24"/>
          <w:szCs w:val="24"/>
          <w:lang w:eastAsia="en-SG"/>
        </w:rPr>
        <w:t>, the Court's "</w:t>
      </w:r>
      <w:r w:rsidRPr="005F5F47">
        <w:rPr>
          <w:rFonts w:ascii="Times New Roman" w:eastAsia="Times New Roman" w:hAnsi="Times New Roman" w:cs="Times New Roman"/>
          <w:b/>
          <w:bCs/>
          <w:i/>
          <w:iCs/>
          <w:sz w:val="24"/>
          <w:szCs w:val="24"/>
          <w:lang w:eastAsia="en-SG"/>
        </w:rPr>
        <w:t>sole</w:t>
      </w:r>
      <w:r w:rsidRPr="005F5F47">
        <w:rPr>
          <w:rFonts w:ascii="Times New Roman" w:eastAsia="Times New Roman" w:hAnsi="Times New Roman" w:cs="Times New Roman"/>
          <w:sz w:val="24"/>
          <w:szCs w:val="24"/>
          <w:lang w:eastAsia="en-SG"/>
        </w:rPr>
        <w:t xml:space="preserve"> role is to apply the law based on the </w:t>
      </w:r>
      <w:r w:rsidRPr="005F5F47">
        <w:rPr>
          <w:rFonts w:ascii="Times New Roman" w:eastAsia="Times New Roman" w:hAnsi="Times New Roman" w:cs="Times New Roman"/>
          <w:b/>
          <w:bCs/>
          <w:sz w:val="24"/>
          <w:szCs w:val="24"/>
          <w:u w:val="single"/>
          <w:lang w:eastAsia="en-SG"/>
        </w:rPr>
        <w:t>findings</w:t>
      </w:r>
      <w:r w:rsidRPr="005F5F47">
        <w:rPr>
          <w:rFonts w:ascii="Times New Roman" w:eastAsia="Times New Roman" w:hAnsi="Times New Roman" w:cs="Times New Roman"/>
          <w:b/>
          <w:bCs/>
          <w:sz w:val="24"/>
          <w:szCs w:val="24"/>
          <w:lang w:eastAsia="en-SG"/>
        </w:rPr>
        <w:t xml:space="preserve"> of facts </w:t>
      </w:r>
      <w:r w:rsidRPr="005F5F47">
        <w:rPr>
          <w:rFonts w:ascii="Times New Roman" w:eastAsia="Times New Roman" w:hAnsi="Times New Roman" w:cs="Times New Roman"/>
          <w:b/>
          <w:bCs/>
          <w:sz w:val="24"/>
          <w:szCs w:val="24"/>
          <w:u w:val="single"/>
          <w:lang w:eastAsia="en-SG"/>
        </w:rPr>
        <w:t>brought</w:t>
      </w:r>
      <w:r w:rsidRPr="005F5F47">
        <w:rPr>
          <w:rFonts w:ascii="Times New Roman" w:eastAsia="Times New Roman" w:hAnsi="Times New Roman" w:cs="Times New Roman"/>
          <w:b/>
          <w:bCs/>
          <w:sz w:val="24"/>
          <w:szCs w:val="24"/>
          <w:lang w:eastAsia="en-SG"/>
        </w:rPr>
        <w:t xml:space="preserve"> before us</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[10]</w:t>
      </w:r>
      <w:r w:rsidRPr="005F5F47">
        <w:rPr>
          <w:rFonts w:ascii="Times New Roman" w:eastAsia="Times New Roman" w:hAnsi="Times New Roman" w:cs="Times New Roman"/>
          <w:sz w:val="24"/>
          <w:szCs w:val="24"/>
          <w:lang w:eastAsia="en-SG"/>
        </w:rPr>
        <w:t xml:space="preserve"> More importantly:</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Strict adherence to the doctrine of hierarchy of courts also proceeds from considerations of due process. While the term "due process of law" evades exact and concrete definition, this Court, in one of its earliest decisions, referred to it as a law which hears before it condemns which proceeds upon inquiry and renders judgment only after trial. It means that every citizen shall hold his life, liberty, property, and immunities under the protection of the general rules which govern society. Under the present Rules of Court, which governs our judicial proceedings, warring factual allegations of parties are settled through presentation of evidence. Evidence is the means of ascertaining, in a judicial proceeding, the truth respecting a matter of fact. As earlier demonstrated, the Court cannot accept evidence </w:t>
      </w:r>
      <w:r w:rsidRPr="005F5F47">
        <w:rPr>
          <w:rFonts w:ascii="Times New Roman" w:eastAsia="Times New Roman" w:hAnsi="Times New Roman" w:cs="Times New Roman"/>
          <w:i/>
          <w:iCs/>
          <w:sz w:val="24"/>
          <w:szCs w:val="24"/>
          <w:lang w:eastAsia="en-SG"/>
        </w:rPr>
        <w:t>in the first instance</w:t>
      </w:r>
      <w:r w:rsidRPr="005F5F47">
        <w:rPr>
          <w:rFonts w:ascii="Times New Roman" w:eastAsia="Times New Roman" w:hAnsi="Times New Roman" w:cs="Times New Roman"/>
          <w:sz w:val="24"/>
          <w:szCs w:val="24"/>
          <w:lang w:eastAsia="en-SG"/>
        </w:rPr>
        <w:t>. By directly filing a case before the Court, litigants necessarily deprive themselves of the opportunity to completely pursue or defend their causes of actions. Their right to due process is effectively undermined by their own doing</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11]</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The foregoing viewpoint from the lens of due process squarely applies in the present case considering that there are a number of cases, administrative and criminal — some of which have pending incidents before the Court — that are directly intertwined with the facts of the present case. Therefore, a finding that the ERC, as a body, committed grave abuse of discretion based on </w:t>
      </w:r>
      <w:r w:rsidRPr="005F5F47">
        <w:rPr>
          <w:rFonts w:ascii="Times New Roman" w:eastAsia="Times New Roman" w:hAnsi="Times New Roman" w:cs="Times New Roman"/>
          <w:b/>
          <w:bCs/>
          <w:i/>
          <w:iCs/>
          <w:sz w:val="24"/>
          <w:szCs w:val="24"/>
          <w:lang w:eastAsia="en-SG"/>
        </w:rPr>
        <w:t>incomplete and contested facts</w:t>
      </w:r>
      <w:r w:rsidRPr="005F5F47">
        <w:rPr>
          <w:rFonts w:ascii="Times New Roman" w:eastAsia="Times New Roman" w:hAnsi="Times New Roman" w:cs="Times New Roman"/>
          <w:sz w:val="24"/>
          <w:szCs w:val="24"/>
          <w:lang w:eastAsia="en-SG"/>
        </w:rPr>
        <w:t>, would be unfair and would constitute a violation of due process for respondents and the several accused in the said cases.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i/>
          <w:iCs/>
          <w:sz w:val="24"/>
          <w:szCs w:val="24"/>
          <w:lang w:eastAsia="en-SG"/>
        </w:rPr>
        <w:t>Nature and procedure for approval of PSAs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proofErr w:type="spellStart"/>
      <w:r w:rsidRPr="005F5F47">
        <w:rPr>
          <w:rFonts w:ascii="Times New Roman" w:eastAsia="Times New Roman" w:hAnsi="Times New Roman" w:cs="Times New Roman"/>
          <w:sz w:val="24"/>
          <w:szCs w:val="24"/>
          <w:lang w:eastAsia="en-SG"/>
        </w:rPr>
        <w:t>PSAs</w:t>
      </w:r>
      <w:proofErr w:type="spellEnd"/>
      <w:r w:rsidRPr="005F5F47">
        <w:rPr>
          <w:rFonts w:ascii="Times New Roman" w:eastAsia="Times New Roman" w:hAnsi="Times New Roman" w:cs="Times New Roman"/>
          <w:sz w:val="24"/>
          <w:szCs w:val="24"/>
          <w:lang w:eastAsia="en-SG"/>
        </w:rPr>
        <w:t xml:space="preserve"> are contracts between a DU and a power producer.</w:t>
      </w:r>
      <w:r w:rsidRPr="005F5F47">
        <w:rPr>
          <w:rFonts w:ascii="Times New Roman" w:eastAsia="Times New Roman" w:hAnsi="Times New Roman" w:cs="Times New Roman"/>
          <w:color w:val="FF0000"/>
          <w:sz w:val="24"/>
          <w:szCs w:val="24"/>
          <w:vertAlign w:val="superscript"/>
          <w:lang w:eastAsia="en-SG"/>
        </w:rPr>
        <w:t>[12]</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u w:val="single"/>
          <w:lang w:eastAsia="en-SG"/>
        </w:rPr>
        <w:t>PSAs</w:t>
      </w:r>
      <w:r w:rsidRPr="005F5F47">
        <w:rPr>
          <w:rFonts w:ascii="Times New Roman" w:eastAsia="Times New Roman" w:hAnsi="Times New Roman" w:cs="Times New Roman"/>
          <w:sz w:val="24"/>
          <w:szCs w:val="24"/>
          <w:lang w:eastAsia="en-SG"/>
        </w:rPr>
        <w:t xml:space="preserve">, which are bilateral power supply contracts, </w:t>
      </w:r>
      <w:r w:rsidRPr="005F5F47">
        <w:rPr>
          <w:rFonts w:ascii="Times New Roman" w:eastAsia="Times New Roman" w:hAnsi="Times New Roman" w:cs="Times New Roman"/>
          <w:b/>
          <w:bCs/>
          <w:sz w:val="24"/>
          <w:szCs w:val="24"/>
          <w:u w:val="single"/>
          <w:lang w:eastAsia="en-SG"/>
        </w:rPr>
        <w:t>are made subject to review by the ERC</w:t>
      </w:r>
      <w:r w:rsidRPr="005F5F47">
        <w:rPr>
          <w:rFonts w:ascii="Times New Roman" w:eastAsia="Times New Roman" w:hAnsi="Times New Roman" w:cs="Times New Roman"/>
          <w:sz w:val="24"/>
          <w:szCs w:val="24"/>
          <w:lang w:eastAsia="en-SG"/>
        </w:rPr>
        <w:t xml:space="preserve"> precisely to promote true market competition and prevent harmful monopoly and market power abuse.</w:t>
      </w:r>
      <w:r w:rsidRPr="005F5F47">
        <w:rPr>
          <w:rFonts w:ascii="Times New Roman" w:eastAsia="Times New Roman" w:hAnsi="Times New Roman" w:cs="Times New Roman"/>
          <w:color w:val="FF0000"/>
          <w:sz w:val="24"/>
          <w:szCs w:val="24"/>
          <w:vertAlign w:val="superscript"/>
          <w:lang w:eastAsia="en-SG"/>
        </w:rPr>
        <w:t>[13]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process to get ERC approval for PSAs, based on the ERC Rules, is as follows: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Even before an application is lodged with the ERC, the DUs and the power producers (or </w:t>
      </w:r>
      <w:proofErr w:type="spellStart"/>
      <w:r w:rsidRPr="005F5F47">
        <w:rPr>
          <w:rFonts w:ascii="Times New Roman" w:eastAsia="Times New Roman" w:hAnsi="Times New Roman" w:cs="Times New Roman"/>
          <w:sz w:val="24"/>
          <w:szCs w:val="24"/>
          <w:lang w:eastAsia="en-SG"/>
        </w:rPr>
        <w:t>GenCos</w:t>
      </w:r>
      <w:proofErr w:type="spellEnd"/>
      <w:r w:rsidRPr="005F5F47">
        <w:rPr>
          <w:rFonts w:ascii="Times New Roman" w:eastAsia="Times New Roman" w:hAnsi="Times New Roman" w:cs="Times New Roman"/>
          <w:sz w:val="24"/>
          <w:szCs w:val="24"/>
          <w:lang w:eastAsia="en-SG"/>
        </w:rPr>
        <w:t>) have already negotiated and executed material documents that comprise their commercial agreements. In fact, the ERC Rules enumerate the numerous documents and information that should be submitted together with the application</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14]</w:t>
      </w:r>
      <w:r w:rsidRPr="005F5F47">
        <w:rPr>
          <w:rFonts w:ascii="Times New Roman" w:eastAsia="Times New Roman" w:hAnsi="Times New Roman" w:cs="Times New Roman"/>
          <w:sz w:val="24"/>
          <w:szCs w:val="24"/>
          <w:lang w:eastAsia="en-SG"/>
        </w:rPr>
        <w:t xml:space="preserve"> which include the following:</w:t>
      </w:r>
    </w:p>
    <w:tbl>
      <w:tblPr>
        <w:tblW w:w="5000" w:type="pct"/>
        <w:tblCellSpacing w:w="0" w:type="dxa"/>
        <w:tblCellMar>
          <w:left w:w="0" w:type="dxa"/>
          <w:right w:w="0" w:type="dxa"/>
        </w:tblCellMar>
        <w:tblLook w:val="04A0" w:firstRow="1" w:lastRow="0" w:firstColumn="1" w:lastColumn="0" w:noHBand="0" w:noVBand="1"/>
      </w:tblPr>
      <w:tblGrid>
        <w:gridCol w:w="452"/>
        <w:gridCol w:w="451"/>
        <w:gridCol w:w="451"/>
        <w:gridCol w:w="7672"/>
      </w:tblGrid>
      <w:tr w:rsidR="005F5F47" w:rsidRPr="005F5F47" w:rsidTr="005F5F47">
        <w:trPr>
          <w:tblCellSpacing w:w="0" w:type="dxa"/>
        </w:trPr>
        <w:tc>
          <w:tcPr>
            <w:tcW w:w="2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(a) </w:t>
            </w:r>
          </w:p>
        </w:tc>
        <w:tc>
          <w:tcPr>
            <w:tcW w:w="0" w:type="auto"/>
            <w:gridSpan w:val="3"/>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Articles of Incorporation of Generation Company</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2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2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42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(b) </w:t>
            </w:r>
          </w:p>
        </w:tc>
        <w:tc>
          <w:tcPr>
            <w:tcW w:w="0" w:type="auto"/>
            <w:gridSpan w:val="3"/>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Securities and Exchange Commission (SEC) Certificate of Registration of the said Articles of Incorporation of Generation Company</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(c)</w:t>
            </w:r>
          </w:p>
        </w:tc>
        <w:tc>
          <w:tcPr>
            <w:tcW w:w="0" w:type="auto"/>
            <w:gridSpan w:val="3"/>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Latest General Information Sheet of Generation Company</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(d) </w:t>
            </w:r>
          </w:p>
        </w:tc>
        <w:tc>
          <w:tcPr>
            <w:tcW w:w="0" w:type="auto"/>
            <w:gridSpan w:val="3"/>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Board of Investment (BOI) Certificate of Registration of Generation Company</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(e) </w:t>
            </w:r>
          </w:p>
        </w:tc>
        <w:tc>
          <w:tcPr>
            <w:tcW w:w="0" w:type="auto"/>
            <w:gridSpan w:val="3"/>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Environmental Compliance Certificate (ECC) issued by the Department of Environment and Natural Resources (DENR) to the Generation Company</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(f) </w:t>
            </w:r>
          </w:p>
        </w:tc>
        <w:tc>
          <w:tcPr>
            <w:tcW w:w="0" w:type="auto"/>
            <w:gridSpan w:val="3"/>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Power Supply Agreement/Energy Conversion Agreement Contract (PSA/ECA)</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(g) </w:t>
            </w:r>
          </w:p>
        </w:tc>
        <w:tc>
          <w:tcPr>
            <w:tcW w:w="0" w:type="auto"/>
            <w:gridSpan w:val="3"/>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Details of the PSA/ECA</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1. </w:t>
            </w:r>
          </w:p>
        </w:tc>
        <w:tc>
          <w:tcPr>
            <w:tcW w:w="0" w:type="auto"/>
            <w:gridSpan w:val="2"/>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Executive Summary</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2. </w:t>
            </w:r>
          </w:p>
        </w:tc>
        <w:tc>
          <w:tcPr>
            <w:tcW w:w="0" w:type="auto"/>
            <w:gridSpan w:val="2"/>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Sources of Funds/Financial Plans</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2.1. </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Debt/Equity Ratio</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2.2. </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Project Cost</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2.3. </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Annual Interest</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2.4. </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Computation of Return on Investment/WACC</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2.5. </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Certification from the Bank/Lending Institution specifying the principal amortization, term and interest during the cooperation period of the loan agreement</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3.</w:t>
            </w:r>
          </w:p>
        </w:tc>
        <w:tc>
          <w:tcPr>
            <w:tcW w:w="0" w:type="auto"/>
            <w:gridSpan w:val="2"/>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Purchased Power Rate</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3.1. </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Breakdown of the base prices of Operation and Maintenance, Capacity Fee, Fixed Operation Fee, and Energy Fee (provide computations)</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3.2. </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Sample Computation of Power Rates with the supporting documents on the assumptions taken</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3.3.</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If applicable, basis/rationale of indexation and level of indexation</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4. </w:t>
            </w:r>
          </w:p>
        </w:tc>
        <w:tc>
          <w:tcPr>
            <w:tcW w:w="0" w:type="auto"/>
            <w:gridSpan w:val="2"/>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Cash flow specifying the following:</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4.1.</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Initial Costs</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4.2. </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Breakdown of Operating and Maintenance Expenses and</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4.3.</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Minimum Energy Off-take (MEOT)</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w:t>
            </w:r>
            <w:proofErr w:type="spellStart"/>
            <w:r w:rsidRPr="005F5F47">
              <w:rPr>
                <w:rFonts w:ascii="Times New Roman" w:eastAsia="Times New Roman" w:hAnsi="Times New Roman" w:cs="Times New Roman"/>
                <w:sz w:val="24"/>
                <w:szCs w:val="24"/>
                <w:lang w:eastAsia="en-SG"/>
              </w:rPr>
              <w:t>i</w:t>
            </w:r>
            <w:proofErr w:type="spellEnd"/>
            <w:r w:rsidRPr="005F5F47">
              <w:rPr>
                <w:rFonts w:ascii="Times New Roman" w:eastAsia="Times New Roman" w:hAnsi="Times New Roman" w:cs="Times New Roman"/>
                <w:sz w:val="24"/>
                <w:szCs w:val="24"/>
                <w:lang w:eastAsia="en-SG"/>
              </w:rPr>
              <w:t xml:space="preserve">) </w:t>
            </w:r>
          </w:p>
        </w:tc>
        <w:tc>
          <w:tcPr>
            <w:tcW w:w="0" w:type="auto"/>
            <w:gridSpan w:val="3"/>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All details on the procurement process of fuel including requests, proposals received, tender offers, etc.</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(j) </w:t>
            </w:r>
          </w:p>
        </w:tc>
        <w:tc>
          <w:tcPr>
            <w:tcW w:w="0" w:type="auto"/>
            <w:gridSpan w:val="3"/>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Copy of Related Agreements (i.e. Transmission Wheeling Contract, Fuel Supply Agreements, etc.)</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(k) </w:t>
            </w:r>
          </w:p>
        </w:tc>
        <w:tc>
          <w:tcPr>
            <w:tcW w:w="0" w:type="auto"/>
            <w:gridSpan w:val="3"/>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Certificate of Compliance (COC) issued by the ERC pursuant to the Guidelines for the issuance of COC for Generation Companies/Facilities</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(l) </w:t>
            </w:r>
          </w:p>
        </w:tc>
        <w:tc>
          <w:tcPr>
            <w:tcW w:w="0" w:type="auto"/>
            <w:gridSpan w:val="3"/>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Certification by NPC on whether or not Transition Supply Contract (TSC) capacity and energy are expected to be available during the contractual period (include relevant supporting documentation, data and analysis supporting each statement)</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(m)</w:t>
            </w:r>
          </w:p>
        </w:tc>
        <w:tc>
          <w:tcPr>
            <w:tcW w:w="0" w:type="auto"/>
            <w:gridSpan w:val="3"/>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All relevant technical and economic characteristics of the generation capacity, installed capacity, mode of operation, and dependable capacity of the plant</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 xml:space="preserve">(n) </w:t>
            </w:r>
          </w:p>
        </w:tc>
        <w:tc>
          <w:tcPr>
            <w:tcW w:w="0" w:type="auto"/>
            <w:gridSpan w:val="3"/>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u w:val="single"/>
                <w:lang w:eastAsia="en-SG"/>
              </w:rPr>
              <w:t>Details on the procurement process used by the Distribution Utility leading to the selection of the Generation Company including request(s) for proposals, proposal received by the Distribution Utility, tender offers, etc.</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lastRenderedPageBreak/>
              <w:t>(o)</w:t>
            </w:r>
          </w:p>
        </w:tc>
        <w:tc>
          <w:tcPr>
            <w:tcW w:w="0" w:type="auto"/>
            <w:gridSpan w:val="3"/>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Details regarding transmission projects or grid connection projects necessary to complement the proposed generation capacity, including the parties that will develop and/or own such facilities, any costs related to such project, and specification of the parties responsible for recovery of any costs related to such projects</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(p) </w:t>
            </w:r>
          </w:p>
        </w:tc>
        <w:tc>
          <w:tcPr>
            <w:tcW w:w="0" w:type="auto"/>
            <w:gridSpan w:val="3"/>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Certification regarding the consistencies and inconsistencies between the proposed generation capacity and the [DOE's] Philippine Development Plan (PDP). Any inconsistency shall be supported by relevant analysis including but not limited to, forecasts and assessment of available generation capacity and technology mix.</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(q) </w:t>
            </w:r>
          </w:p>
        </w:tc>
        <w:tc>
          <w:tcPr>
            <w:tcW w:w="0" w:type="auto"/>
            <w:gridSpan w:val="3"/>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Details regarding the load forecast projections in accordance with the latest Distribution Development Plan of the Distribution Utility and the variability of those projections over the proposed contract period, including the estimation of the potential for a reduction in load supplied by the Distribution Utility due to retail competition. Any inconsistency shall be supported by relevant analysis.</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(r) </w:t>
            </w:r>
          </w:p>
        </w:tc>
        <w:tc>
          <w:tcPr>
            <w:tcW w:w="0" w:type="auto"/>
            <w:gridSpan w:val="3"/>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If the application is filed later than two years following the effectivity of the Guidelines for the Recovery of Costs for the Generation Component of the Distribution Utilities' Rates, the application must include an alternative Demand Side Management (DSM) program that could be implemented by the Distribution Utilities if approved by the ERC. The Distribution Utility shall submit the projected costs and benefits of the DSM program.</w:t>
            </w:r>
            <w:r w:rsidRPr="005F5F47">
              <w:rPr>
                <w:rFonts w:ascii="Times New Roman" w:eastAsia="Times New Roman" w:hAnsi="Times New Roman" w:cs="Times New Roman"/>
                <w:color w:val="FF0000"/>
                <w:sz w:val="24"/>
                <w:szCs w:val="24"/>
                <w:vertAlign w:val="superscript"/>
                <w:lang w:eastAsia="en-SG"/>
              </w:rPr>
              <w:t>[15]</w:t>
            </w:r>
            <w:r w:rsidRPr="005F5F47">
              <w:rPr>
                <w:rFonts w:ascii="Times New Roman" w:eastAsia="Times New Roman" w:hAnsi="Times New Roman" w:cs="Times New Roman"/>
                <w:sz w:val="24"/>
                <w:szCs w:val="24"/>
                <w:lang w:eastAsia="en-SG"/>
              </w:rPr>
              <w:t xml:space="preserve"> (Emphasis and underscoring supplied)</w:t>
            </w:r>
          </w:p>
        </w:tc>
      </w:tr>
    </w:tbl>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The foregoing shows that even before an application for a PSA is submitted for approval, the PSA itself and other supporting agreements have already been meticulously, extensively and heavily negotiated and executed by the DUs and the </w:t>
      </w:r>
      <w:proofErr w:type="spellStart"/>
      <w:r w:rsidRPr="005F5F47">
        <w:rPr>
          <w:rFonts w:ascii="Times New Roman" w:eastAsia="Times New Roman" w:hAnsi="Times New Roman" w:cs="Times New Roman"/>
          <w:sz w:val="24"/>
          <w:szCs w:val="24"/>
          <w:lang w:eastAsia="en-SG"/>
        </w:rPr>
        <w:t>GenCos</w:t>
      </w:r>
      <w:proofErr w:type="spellEnd"/>
      <w:r w:rsidRPr="005F5F47">
        <w:rPr>
          <w:rFonts w:ascii="Times New Roman" w:eastAsia="Times New Roman" w:hAnsi="Times New Roman" w:cs="Times New Roman"/>
          <w:sz w:val="24"/>
          <w:szCs w:val="24"/>
          <w:lang w:eastAsia="en-SG"/>
        </w:rPr>
        <w:t xml:space="preserve">. Not only have these documents been executed, but the </w:t>
      </w:r>
      <w:proofErr w:type="spellStart"/>
      <w:r w:rsidRPr="005F5F47">
        <w:rPr>
          <w:rFonts w:ascii="Times New Roman" w:eastAsia="Times New Roman" w:hAnsi="Times New Roman" w:cs="Times New Roman"/>
          <w:sz w:val="24"/>
          <w:szCs w:val="24"/>
          <w:lang w:eastAsia="en-SG"/>
        </w:rPr>
        <w:t>GenCos</w:t>
      </w:r>
      <w:proofErr w:type="spellEnd"/>
      <w:r w:rsidRPr="005F5F47">
        <w:rPr>
          <w:rFonts w:ascii="Times New Roman" w:eastAsia="Times New Roman" w:hAnsi="Times New Roman" w:cs="Times New Roman"/>
          <w:sz w:val="24"/>
          <w:szCs w:val="24"/>
          <w:lang w:eastAsia="en-SG"/>
        </w:rPr>
        <w:t xml:space="preserve"> and the DUs have already spent considerable money and financial resources to complete the documentation, finalized bank loans for the funding of the project, and registered with several government agencies such as the Securities and Exchange Commission, Board of Investments and the Department of Environment and Natural Resources. </w:t>
      </w:r>
      <w:r w:rsidRPr="005F5F47">
        <w:rPr>
          <w:rFonts w:ascii="Times New Roman" w:eastAsia="Times New Roman" w:hAnsi="Times New Roman" w:cs="Times New Roman"/>
          <w:b/>
          <w:bCs/>
          <w:sz w:val="24"/>
          <w:szCs w:val="24"/>
          <w:lang w:eastAsia="en-SG"/>
        </w:rPr>
        <w:t xml:space="preserve">Thus, when the application is lodged, the PSA is already finalized by the parties, and the ERC, as a regulator, comes in and </w:t>
      </w:r>
      <w:r w:rsidRPr="005F5F47">
        <w:rPr>
          <w:rFonts w:ascii="Times New Roman" w:eastAsia="Times New Roman" w:hAnsi="Times New Roman" w:cs="Times New Roman"/>
          <w:b/>
          <w:bCs/>
          <w:sz w:val="24"/>
          <w:szCs w:val="24"/>
          <w:u w:val="single"/>
          <w:lang w:eastAsia="en-SG"/>
        </w:rPr>
        <w:t>reviews each and every aspect of the transaction and may change or amend aspects of the transaction that will affect consumers</w:t>
      </w:r>
      <w:r w:rsidRPr="005F5F47">
        <w:rPr>
          <w:rFonts w:ascii="Times New Roman" w:eastAsia="Times New Roman" w:hAnsi="Times New Roman" w:cs="Times New Roman"/>
          <w:b/>
          <w:bCs/>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In fact, to highlight that the application will not prejudice consumers, the application for approval of PSAs between a DU and </w:t>
      </w:r>
      <w:proofErr w:type="spellStart"/>
      <w:r w:rsidRPr="005F5F47">
        <w:rPr>
          <w:rFonts w:ascii="Times New Roman" w:eastAsia="Times New Roman" w:hAnsi="Times New Roman" w:cs="Times New Roman"/>
          <w:sz w:val="24"/>
          <w:szCs w:val="24"/>
          <w:lang w:eastAsia="en-SG"/>
        </w:rPr>
        <w:t>GenCos</w:t>
      </w:r>
      <w:proofErr w:type="spellEnd"/>
      <w:r w:rsidRPr="005F5F47">
        <w:rPr>
          <w:rFonts w:ascii="Times New Roman" w:eastAsia="Times New Roman" w:hAnsi="Times New Roman" w:cs="Times New Roman"/>
          <w:sz w:val="24"/>
          <w:szCs w:val="24"/>
          <w:lang w:eastAsia="en-SG"/>
        </w:rPr>
        <w:t xml:space="preserve"> is required to include not only the details on the procurement process used by the DU that led to the selection of the </w:t>
      </w:r>
      <w:proofErr w:type="spellStart"/>
      <w:r w:rsidRPr="005F5F47">
        <w:rPr>
          <w:rFonts w:ascii="Times New Roman" w:eastAsia="Times New Roman" w:hAnsi="Times New Roman" w:cs="Times New Roman"/>
          <w:sz w:val="24"/>
          <w:szCs w:val="24"/>
          <w:lang w:eastAsia="en-SG"/>
        </w:rPr>
        <w:t>GenCo</w:t>
      </w:r>
      <w:proofErr w:type="spellEnd"/>
      <w:r w:rsidRPr="005F5F47">
        <w:rPr>
          <w:rFonts w:ascii="Times New Roman" w:eastAsia="Times New Roman" w:hAnsi="Times New Roman" w:cs="Times New Roman"/>
          <w:sz w:val="24"/>
          <w:szCs w:val="24"/>
          <w:lang w:eastAsia="en-SG"/>
        </w:rPr>
        <w:t>, including request(s) for proposals, proposals received by the DU, tender offers, etc.,</w:t>
      </w:r>
      <w:r w:rsidRPr="005F5F47">
        <w:rPr>
          <w:rFonts w:ascii="Times New Roman" w:eastAsia="Times New Roman" w:hAnsi="Times New Roman" w:cs="Times New Roman"/>
          <w:color w:val="FF0000"/>
          <w:sz w:val="24"/>
          <w:szCs w:val="24"/>
          <w:vertAlign w:val="superscript"/>
          <w:lang w:eastAsia="en-SG"/>
        </w:rPr>
        <w:t>[16]</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lang w:eastAsia="en-SG"/>
        </w:rPr>
        <w:t>but also</w:t>
      </w:r>
      <w:r w:rsidRPr="005F5F47">
        <w:rPr>
          <w:rFonts w:ascii="Times New Roman" w:eastAsia="Times New Roman" w:hAnsi="Times New Roman" w:cs="Times New Roman"/>
          <w:sz w:val="24"/>
          <w:szCs w:val="24"/>
          <w:lang w:eastAsia="en-SG"/>
        </w:rPr>
        <w:t xml:space="preserve"> the stipulations on the pricing, and </w:t>
      </w:r>
      <w:r w:rsidRPr="005F5F47">
        <w:rPr>
          <w:rFonts w:ascii="Times New Roman" w:eastAsia="Times New Roman" w:hAnsi="Times New Roman" w:cs="Times New Roman"/>
          <w:b/>
          <w:bCs/>
          <w:sz w:val="24"/>
          <w:szCs w:val="24"/>
          <w:u w:val="single"/>
          <w:lang w:eastAsia="en-SG"/>
        </w:rPr>
        <w:t>a statement of its effect on the overall rates of the applicant-utility once the contract is approved</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[17]</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In addition to the foregoing documents, all applications for approval of PSAs must show compliance with the pre-filing requirements</w:t>
      </w:r>
      <w:r w:rsidRPr="005F5F47">
        <w:rPr>
          <w:rFonts w:ascii="Times New Roman" w:eastAsia="Times New Roman" w:hAnsi="Times New Roman" w:cs="Times New Roman"/>
          <w:color w:val="FF0000"/>
          <w:sz w:val="24"/>
          <w:szCs w:val="24"/>
          <w:vertAlign w:val="superscript"/>
          <w:lang w:eastAsia="en-SG"/>
        </w:rPr>
        <w:t>[18]</w:t>
      </w:r>
      <w:r w:rsidRPr="005F5F47">
        <w:rPr>
          <w:rFonts w:ascii="Times New Roman" w:eastAsia="Times New Roman" w:hAnsi="Times New Roman" w:cs="Times New Roman"/>
          <w:sz w:val="24"/>
          <w:szCs w:val="24"/>
          <w:lang w:eastAsia="en-SG"/>
        </w:rPr>
        <w:t xml:space="preserve"> before the ERC issues a Notice of Hearing to the parties and such other persons that the ERC may designate.</w:t>
      </w:r>
      <w:r w:rsidRPr="005F5F47">
        <w:rPr>
          <w:rFonts w:ascii="Times New Roman" w:eastAsia="Times New Roman" w:hAnsi="Times New Roman" w:cs="Times New Roman"/>
          <w:color w:val="FF0000"/>
          <w:sz w:val="24"/>
          <w:szCs w:val="24"/>
          <w:vertAlign w:val="superscript"/>
          <w:lang w:eastAsia="en-SG"/>
        </w:rPr>
        <w:t>[19]</w:t>
      </w:r>
      <w:r w:rsidRPr="005F5F47">
        <w:rPr>
          <w:rFonts w:ascii="Times New Roman" w:eastAsia="Times New Roman" w:hAnsi="Times New Roman" w:cs="Times New Roman"/>
          <w:sz w:val="24"/>
          <w:szCs w:val="24"/>
          <w:lang w:eastAsia="en-SG"/>
        </w:rPr>
        <w:t xml:space="preserve"> Such notice shall be published.</w:t>
      </w:r>
      <w:r w:rsidRPr="005F5F47">
        <w:rPr>
          <w:rFonts w:ascii="Times New Roman" w:eastAsia="Times New Roman" w:hAnsi="Times New Roman" w:cs="Times New Roman"/>
          <w:color w:val="FF0000"/>
          <w:sz w:val="24"/>
          <w:szCs w:val="24"/>
          <w:vertAlign w:val="superscript"/>
          <w:lang w:eastAsia="en-SG"/>
        </w:rPr>
        <w:t>[20]</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During the hearing, the applicant is then required to present proof of compliance with the jurisdictional requirements of publication and notice to all affected parties.</w:t>
      </w:r>
      <w:r w:rsidRPr="005F5F47">
        <w:rPr>
          <w:rFonts w:ascii="Times New Roman" w:eastAsia="Times New Roman" w:hAnsi="Times New Roman" w:cs="Times New Roman"/>
          <w:color w:val="FF0000"/>
          <w:sz w:val="24"/>
          <w:szCs w:val="24"/>
          <w:vertAlign w:val="superscript"/>
          <w:lang w:eastAsia="en-SG"/>
        </w:rPr>
        <w:t>[21]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Pre-trial will then be conducted, which may be immediately after the applicant has submitted </w:t>
      </w:r>
      <w:r w:rsidRPr="005F5F47">
        <w:rPr>
          <w:rFonts w:ascii="Times New Roman" w:eastAsia="Times New Roman" w:hAnsi="Times New Roman" w:cs="Times New Roman"/>
          <w:sz w:val="24"/>
          <w:szCs w:val="24"/>
          <w:lang w:eastAsia="en-SG"/>
        </w:rPr>
        <w:lastRenderedPageBreak/>
        <w:t>its compliance with the jurisdictional requirements.</w:t>
      </w:r>
      <w:r w:rsidRPr="005F5F47">
        <w:rPr>
          <w:rFonts w:ascii="Times New Roman" w:eastAsia="Times New Roman" w:hAnsi="Times New Roman" w:cs="Times New Roman"/>
          <w:color w:val="FF0000"/>
          <w:sz w:val="24"/>
          <w:szCs w:val="24"/>
          <w:vertAlign w:val="superscript"/>
          <w:lang w:eastAsia="en-SG"/>
        </w:rPr>
        <w:t>[22]</w:t>
      </w:r>
      <w:r w:rsidRPr="005F5F47">
        <w:rPr>
          <w:rFonts w:ascii="Times New Roman" w:eastAsia="Times New Roman" w:hAnsi="Times New Roman" w:cs="Times New Roman"/>
          <w:sz w:val="24"/>
          <w:szCs w:val="24"/>
          <w:lang w:eastAsia="en-SG"/>
        </w:rPr>
        <w:t xml:space="preserve"> A pre-trial order will then be issued.</w:t>
      </w:r>
      <w:r w:rsidRPr="005F5F47">
        <w:rPr>
          <w:rFonts w:ascii="Times New Roman" w:eastAsia="Times New Roman" w:hAnsi="Times New Roman" w:cs="Times New Roman"/>
          <w:color w:val="FF0000"/>
          <w:sz w:val="24"/>
          <w:szCs w:val="24"/>
          <w:vertAlign w:val="superscript"/>
          <w:lang w:eastAsia="en-SG"/>
        </w:rPr>
        <w:t>[23]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u w:val="single"/>
          <w:lang w:eastAsia="en-SG"/>
        </w:rPr>
        <w:t>Thereafter, public hearings on the applications are conducted.</w:t>
      </w:r>
      <w:r w:rsidRPr="005F5F47">
        <w:rPr>
          <w:rFonts w:ascii="Times New Roman" w:eastAsia="Times New Roman" w:hAnsi="Times New Roman" w:cs="Times New Roman"/>
          <w:color w:val="FF0000"/>
          <w:sz w:val="24"/>
          <w:szCs w:val="24"/>
          <w:vertAlign w:val="superscript"/>
          <w:lang w:eastAsia="en-SG"/>
        </w:rPr>
        <w:t>[24]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u w:val="single"/>
          <w:lang w:eastAsia="en-SG"/>
        </w:rPr>
        <w:t>During the hearings, the applicant presents its witnesses, who will be subject to cross-examination, re-direct examination, and re-cross examination.</w:t>
      </w:r>
      <w:r w:rsidRPr="005F5F47">
        <w:rPr>
          <w:rFonts w:ascii="Times New Roman" w:eastAsia="Times New Roman" w:hAnsi="Times New Roman" w:cs="Times New Roman"/>
          <w:color w:val="FF0000"/>
          <w:sz w:val="24"/>
          <w:szCs w:val="24"/>
          <w:vertAlign w:val="superscript"/>
          <w:lang w:eastAsia="en-SG"/>
        </w:rPr>
        <w:t>[25]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It is only after the reception of evidence and compliance with the foregoing requirements does the ERC then issue a decision on the application.</w:t>
      </w:r>
      <w:r w:rsidRPr="005F5F47">
        <w:rPr>
          <w:rFonts w:ascii="Times New Roman" w:eastAsia="Times New Roman" w:hAnsi="Times New Roman" w:cs="Times New Roman"/>
          <w:color w:val="FF0000"/>
          <w:sz w:val="24"/>
          <w:szCs w:val="24"/>
          <w:vertAlign w:val="superscript"/>
          <w:lang w:eastAsia="en-SG"/>
        </w:rPr>
        <w:t>[26]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Parties may request for provisional authority together with their application for approval of their PSA. The ERC resolves these requests within 75 days from the filing of the application, and if it issues a provisional authority, the ERC is mandated to start the hearing on the application within 30 days from the issuance of the provisional authority.</w:t>
      </w:r>
      <w:r w:rsidRPr="005F5F47">
        <w:rPr>
          <w:rFonts w:ascii="Times New Roman" w:eastAsia="Times New Roman" w:hAnsi="Times New Roman" w:cs="Times New Roman"/>
          <w:color w:val="FF0000"/>
          <w:sz w:val="24"/>
          <w:szCs w:val="24"/>
          <w:vertAlign w:val="superscript"/>
          <w:lang w:eastAsia="en-SG"/>
        </w:rPr>
        <w:t>[27]</w:t>
      </w:r>
      <w:r w:rsidRPr="005F5F47">
        <w:rPr>
          <w:rFonts w:ascii="Times New Roman" w:eastAsia="Times New Roman" w:hAnsi="Times New Roman" w:cs="Times New Roman"/>
          <w:sz w:val="24"/>
          <w:szCs w:val="24"/>
          <w:lang w:eastAsia="en-SG"/>
        </w:rPr>
        <w:t xml:space="preserve"> The ERC then resolves the application within 12 months from the issuance of the provisional authority.</w:t>
      </w:r>
      <w:r w:rsidRPr="005F5F47">
        <w:rPr>
          <w:rFonts w:ascii="Times New Roman" w:eastAsia="Times New Roman" w:hAnsi="Times New Roman" w:cs="Times New Roman"/>
          <w:color w:val="FF0000"/>
          <w:sz w:val="24"/>
          <w:szCs w:val="24"/>
          <w:vertAlign w:val="superscript"/>
          <w:lang w:eastAsia="en-SG"/>
        </w:rPr>
        <w:t>[28]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i/>
          <w:iCs/>
          <w:sz w:val="24"/>
          <w:szCs w:val="24"/>
          <w:lang w:eastAsia="en-SG"/>
        </w:rPr>
        <w:t>CSP is merely a tool; it is only one of the mechanisms to ensure the low cost of electricity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rules that in the absence of competitive bidding or CSP there is no assurance of the reasonableness of the power rates charged to the consumers.</w:t>
      </w:r>
      <w:r w:rsidRPr="005F5F47">
        <w:rPr>
          <w:rFonts w:ascii="Times New Roman" w:eastAsia="Times New Roman" w:hAnsi="Times New Roman" w:cs="Times New Roman"/>
          <w:color w:val="FF0000"/>
          <w:sz w:val="24"/>
          <w:szCs w:val="24"/>
          <w:vertAlign w:val="superscript"/>
          <w:lang w:eastAsia="en-SG"/>
        </w:rPr>
        <w:t>[29]</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This is farthest from the truth. With utmost respect to my esteemed colleagues, this is plainly and grievously erroneous.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Pursuant to its power, as provided by the EPIRA, to "[f]</w:t>
      </w:r>
      <w:proofErr w:type="spellStart"/>
      <w:r w:rsidRPr="005F5F47">
        <w:rPr>
          <w:rFonts w:ascii="Times New Roman" w:eastAsia="Times New Roman" w:hAnsi="Times New Roman" w:cs="Times New Roman"/>
          <w:sz w:val="24"/>
          <w:szCs w:val="24"/>
          <w:lang w:eastAsia="en-SG"/>
        </w:rPr>
        <w:t>acilitate</w:t>
      </w:r>
      <w:proofErr w:type="spellEnd"/>
      <w:r w:rsidRPr="005F5F47">
        <w:rPr>
          <w:rFonts w:ascii="Times New Roman" w:eastAsia="Times New Roman" w:hAnsi="Times New Roman" w:cs="Times New Roman"/>
          <w:sz w:val="24"/>
          <w:szCs w:val="24"/>
          <w:lang w:eastAsia="en-SG"/>
        </w:rPr>
        <w:t xml:space="preserve"> and encourage reforms in the structure and operations of distribution utilities for greater efficiency and lower costs,"</w:t>
      </w:r>
      <w:r w:rsidRPr="005F5F47">
        <w:rPr>
          <w:rFonts w:ascii="Times New Roman" w:eastAsia="Times New Roman" w:hAnsi="Times New Roman" w:cs="Times New Roman"/>
          <w:color w:val="FF0000"/>
          <w:sz w:val="24"/>
          <w:szCs w:val="24"/>
          <w:vertAlign w:val="superscript"/>
          <w:lang w:eastAsia="en-SG"/>
        </w:rPr>
        <w:t>[30]</w:t>
      </w:r>
      <w:r w:rsidRPr="005F5F47">
        <w:rPr>
          <w:rFonts w:ascii="Times New Roman" w:eastAsia="Times New Roman" w:hAnsi="Times New Roman" w:cs="Times New Roman"/>
          <w:sz w:val="24"/>
          <w:szCs w:val="24"/>
          <w:lang w:eastAsia="en-SG"/>
        </w:rPr>
        <w:t xml:space="preserve"> and in recognition of the obligation of the DUs to "supply electricity in the least cost manner to its captive market,"</w:t>
      </w:r>
      <w:r w:rsidRPr="005F5F47">
        <w:rPr>
          <w:rFonts w:ascii="Times New Roman" w:eastAsia="Times New Roman" w:hAnsi="Times New Roman" w:cs="Times New Roman"/>
          <w:color w:val="FF0000"/>
          <w:sz w:val="24"/>
          <w:szCs w:val="24"/>
          <w:vertAlign w:val="superscript"/>
          <w:lang w:eastAsia="en-SG"/>
        </w:rPr>
        <w:t>[31]</w:t>
      </w:r>
      <w:r w:rsidRPr="005F5F47">
        <w:rPr>
          <w:rFonts w:ascii="Times New Roman" w:eastAsia="Times New Roman" w:hAnsi="Times New Roman" w:cs="Times New Roman"/>
          <w:sz w:val="24"/>
          <w:szCs w:val="24"/>
          <w:lang w:eastAsia="en-SG"/>
        </w:rPr>
        <w:t xml:space="preserve"> the DOE issued the DOE Circular that required all DUs to procure PSAs only through CSP.</w:t>
      </w:r>
      <w:r w:rsidRPr="005F5F47">
        <w:rPr>
          <w:rFonts w:ascii="Times New Roman" w:eastAsia="Times New Roman" w:hAnsi="Times New Roman" w:cs="Times New Roman"/>
          <w:color w:val="FF0000"/>
          <w:sz w:val="24"/>
          <w:szCs w:val="24"/>
          <w:vertAlign w:val="superscript"/>
          <w:lang w:eastAsia="en-SG"/>
        </w:rPr>
        <w:t>[32]</w:t>
      </w:r>
      <w:r w:rsidRPr="005F5F47">
        <w:rPr>
          <w:rFonts w:ascii="Times New Roman" w:eastAsia="Times New Roman" w:hAnsi="Times New Roman" w:cs="Times New Roman"/>
          <w:sz w:val="24"/>
          <w:szCs w:val="24"/>
          <w:lang w:eastAsia="en-SG"/>
        </w:rPr>
        <w:t xml:space="preserve"> The DOE Circular explains that CSP "ensures security and certainty of electricity prices of electric power to end-users in the long-term."</w:t>
      </w:r>
      <w:r w:rsidRPr="005F5F47">
        <w:rPr>
          <w:rFonts w:ascii="Times New Roman" w:eastAsia="Times New Roman" w:hAnsi="Times New Roman" w:cs="Times New Roman"/>
          <w:color w:val="FF0000"/>
          <w:sz w:val="24"/>
          <w:szCs w:val="24"/>
          <w:vertAlign w:val="superscript"/>
          <w:lang w:eastAsia="en-SG"/>
        </w:rPr>
        <w:t>[33]</w:t>
      </w:r>
      <w:r w:rsidRPr="005F5F47">
        <w:rPr>
          <w:rFonts w:ascii="Times New Roman" w:eastAsia="Times New Roman" w:hAnsi="Times New Roman" w:cs="Times New Roman"/>
          <w:sz w:val="24"/>
          <w:szCs w:val="24"/>
          <w:lang w:eastAsia="en-SG"/>
        </w:rPr>
        <w:t xml:space="preserve"> In fact, one of the DOE Circular's Whereas Clauses invokes the State policy, evinced in the EPIRA, to "ensure transparent and reasonable prices of electricity in a regime of free and fair competition and full public accountability to achieve greater operational and economic efficiency and enhance the competitiveness of Philippine products in the global market."</w:t>
      </w:r>
      <w:r w:rsidRPr="005F5F47">
        <w:rPr>
          <w:rFonts w:ascii="Times New Roman" w:eastAsia="Times New Roman" w:hAnsi="Times New Roman" w:cs="Times New Roman"/>
          <w:color w:val="FF0000"/>
          <w:sz w:val="24"/>
          <w:szCs w:val="24"/>
          <w:vertAlign w:val="superscript"/>
          <w:lang w:eastAsia="en-SG"/>
        </w:rPr>
        <w:t>[34</w:t>
      </w:r>
      <w:proofErr w:type="gramStart"/>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From the foregoing, it is true that the CSP was devised to provide electricity in the least-cost manner. However, contrary to the reasoning of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it is </w:t>
      </w:r>
      <w:r w:rsidRPr="005F5F47">
        <w:rPr>
          <w:rFonts w:ascii="Times New Roman" w:eastAsia="Times New Roman" w:hAnsi="Times New Roman" w:cs="Times New Roman"/>
          <w:b/>
          <w:bCs/>
          <w:sz w:val="24"/>
          <w:szCs w:val="24"/>
          <w:u w:val="single"/>
          <w:lang w:eastAsia="en-SG"/>
        </w:rPr>
        <w:t>not</w:t>
      </w:r>
      <w:r w:rsidRPr="005F5F47">
        <w:rPr>
          <w:rFonts w:ascii="Times New Roman" w:eastAsia="Times New Roman" w:hAnsi="Times New Roman" w:cs="Times New Roman"/>
          <w:sz w:val="24"/>
          <w:szCs w:val="24"/>
          <w:lang w:eastAsia="en-SG"/>
        </w:rPr>
        <w:t xml:space="preserve"> the only manner to achieve a reasonable cost of electricity.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i/>
          <w:iCs/>
          <w:sz w:val="24"/>
          <w:szCs w:val="24"/>
          <w:u w:val="single"/>
          <w:lang w:eastAsia="en-SG"/>
        </w:rPr>
        <w:t>Prior to the CSP requirement</w:t>
      </w:r>
      <w:r w:rsidRPr="005F5F47">
        <w:rPr>
          <w:rFonts w:ascii="Times New Roman" w:eastAsia="Times New Roman" w:hAnsi="Times New Roman" w:cs="Times New Roman"/>
          <w:sz w:val="24"/>
          <w:szCs w:val="24"/>
          <w:lang w:eastAsia="en-SG"/>
        </w:rPr>
        <w:t xml:space="preserve">, DUs would secure their supply of electricity by entering into bilateral contracts with </w:t>
      </w:r>
      <w:proofErr w:type="spellStart"/>
      <w:r w:rsidRPr="005F5F47">
        <w:rPr>
          <w:rFonts w:ascii="Times New Roman" w:eastAsia="Times New Roman" w:hAnsi="Times New Roman" w:cs="Times New Roman"/>
          <w:sz w:val="24"/>
          <w:szCs w:val="24"/>
          <w:lang w:eastAsia="en-SG"/>
        </w:rPr>
        <w:t>GenCos</w:t>
      </w:r>
      <w:proofErr w:type="spellEnd"/>
      <w:r w:rsidRPr="005F5F47">
        <w:rPr>
          <w:rFonts w:ascii="Times New Roman" w:eastAsia="Times New Roman" w:hAnsi="Times New Roman" w:cs="Times New Roman"/>
          <w:sz w:val="24"/>
          <w:szCs w:val="24"/>
          <w:lang w:eastAsia="en-SG"/>
        </w:rPr>
        <w:t xml:space="preserve"> and the choice of which </w:t>
      </w:r>
      <w:proofErr w:type="spellStart"/>
      <w:r w:rsidRPr="005F5F47">
        <w:rPr>
          <w:rFonts w:ascii="Times New Roman" w:eastAsia="Times New Roman" w:hAnsi="Times New Roman" w:cs="Times New Roman"/>
          <w:sz w:val="24"/>
          <w:szCs w:val="24"/>
          <w:lang w:eastAsia="en-SG"/>
        </w:rPr>
        <w:t>GenCo</w:t>
      </w:r>
      <w:proofErr w:type="spellEnd"/>
      <w:r w:rsidRPr="005F5F47">
        <w:rPr>
          <w:rFonts w:ascii="Times New Roman" w:eastAsia="Times New Roman" w:hAnsi="Times New Roman" w:cs="Times New Roman"/>
          <w:sz w:val="24"/>
          <w:szCs w:val="24"/>
          <w:lang w:eastAsia="en-SG"/>
        </w:rPr>
        <w:t xml:space="preserve"> to have business with — or from which it will get their supply — rested on the sole discretion of the DUs. </w:t>
      </w:r>
      <w:r w:rsidRPr="005F5F47">
        <w:rPr>
          <w:rFonts w:ascii="Times New Roman" w:eastAsia="Times New Roman" w:hAnsi="Times New Roman" w:cs="Times New Roman"/>
          <w:b/>
          <w:bCs/>
          <w:sz w:val="24"/>
          <w:szCs w:val="24"/>
          <w:u w:val="single"/>
          <w:lang w:eastAsia="en-SG"/>
        </w:rPr>
        <w:t>This did not mean, however, that prior to the CSP requirement, the DUs had unbridled discretion on the price of electricity to impose on consumers.</w:t>
      </w:r>
      <w:r w:rsidRPr="005F5F47">
        <w:rPr>
          <w:rFonts w:ascii="Times New Roman" w:eastAsia="Times New Roman" w:hAnsi="Times New Roman" w:cs="Times New Roman"/>
          <w:sz w:val="24"/>
          <w:szCs w:val="24"/>
          <w:lang w:eastAsia="en-SG"/>
        </w:rPr>
        <w:t xml:space="preserve"> Far from it. The EPIRA itself provides that DUs "shall have the obligation to supply electricity in the least cost manner to [their] captive market, </w:t>
      </w:r>
      <w:r w:rsidRPr="005F5F47">
        <w:rPr>
          <w:rFonts w:ascii="Times New Roman" w:eastAsia="Times New Roman" w:hAnsi="Times New Roman" w:cs="Times New Roman"/>
          <w:b/>
          <w:bCs/>
          <w:i/>
          <w:iCs/>
          <w:sz w:val="24"/>
          <w:szCs w:val="24"/>
          <w:lang w:eastAsia="en-SG"/>
        </w:rPr>
        <w:t>subject to the collection of retail rate duly approved by the ERC</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[35]</w:t>
      </w:r>
      <w:r w:rsidRPr="005F5F47">
        <w:rPr>
          <w:rFonts w:ascii="Times New Roman" w:eastAsia="Times New Roman" w:hAnsi="Times New Roman" w:cs="Times New Roman"/>
          <w:sz w:val="24"/>
          <w:szCs w:val="24"/>
          <w:lang w:eastAsia="en-SG"/>
        </w:rPr>
        <w:t xml:space="preserve"> Further, the ERC was empowered by the EPIRA to review "bilateral power supply contracts" entered into by DUs, </w:t>
      </w:r>
      <w:r w:rsidRPr="005F5F47">
        <w:rPr>
          <w:rFonts w:ascii="Times New Roman" w:eastAsia="Times New Roman" w:hAnsi="Times New Roman" w:cs="Times New Roman"/>
          <w:b/>
          <w:bCs/>
          <w:sz w:val="24"/>
          <w:szCs w:val="24"/>
          <w:u w:val="single"/>
          <w:lang w:eastAsia="en-SG"/>
        </w:rPr>
        <w:t xml:space="preserve">and to likewise </w:t>
      </w:r>
      <w:r w:rsidRPr="005F5F47">
        <w:rPr>
          <w:rFonts w:ascii="Times New Roman" w:eastAsia="Times New Roman" w:hAnsi="Times New Roman" w:cs="Times New Roman"/>
          <w:b/>
          <w:bCs/>
          <w:i/>
          <w:iCs/>
          <w:sz w:val="24"/>
          <w:szCs w:val="24"/>
          <w:u w:val="single"/>
          <w:lang w:eastAsia="en-SG"/>
        </w:rPr>
        <w:t>impose price controls</w:t>
      </w:r>
      <w:r w:rsidRPr="005F5F47">
        <w:rPr>
          <w:rFonts w:ascii="Times New Roman" w:eastAsia="Times New Roman" w:hAnsi="Times New Roman" w:cs="Times New Roman"/>
          <w:b/>
          <w:bCs/>
          <w:sz w:val="24"/>
          <w:szCs w:val="24"/>
          <w:u w:val="single"/>
          <w:lang w:eastAsia="en-SG"/>
        </w:rPr>
        <w:t xml:space="preserve"> and </w:t>
      </w:r>
      <w:r w:rsidRPr="005F5F47">
        <w:rPr>
          <w:rFonts w:ascii="Times New Roman" w:eastAsia="Times New Roman" w:hAnsi="Times New Roman" w:cs="Times New Roman"/>
          <w:b/>
          <w:bCs/>
          <w:i/>
          <w:iCs/>
          <w:sz w:val="24"/>
          <w:szCs w:val="24"/>
          <w:u w:val="single"/>
          <w:lang w:eastAsia="en-SG"/>
        </w:rPr>
        <w:t xml:space="preserve">order the </w:t>
      </w:r>
      <w:proofErr w:type="spellStart"/>
      <w:r w:rsidRPr="005F5F47">
        <w:rPr>
          <w:rFonts w:ascii="Times New Roman" w:eastAsia="Times New Roman" w:hAnsi="Times New Roman" w:cs="Times New Roman"/>
          <w:b/>
          <w:bCs/>
          <w:i/>
          <w:iCs/>
          <w:sz w:val="24"/>
          <w:szCs w:val="24"/>
          <w:u w:val="single"/>
          <w:lang w:eastAsia="en-SG"/>
        </w:rPr>
        <w:t>dissorgement</w:t>
      </w:r>
      <w:proofErr w:type="spellEnd"/>
      <w:r w:rsidRPr="005F5F47">
        <w:rPr>
          <w:rFonts w:ascii="Times New Roman" w:eastAsia="Times New Roman" w:hAnsi="Times New Roman" w:cs="Times New Roman"/>
          <w:b/>
          <w:bCs/>
          <w:i/>
          <w:iCs/>
          <w:sz w:val="24"/>
          <w:szCs w:val="24"/>
          <w:u w:val="single"/>
          <w:lang w:eastAsia="en-SG"/>
        </w:rPr>
        <w:t xml:space="preserve"> of excess</w:t>
      </w:r>
      <w:r w:rsidRPr="005F5F47">
        <w:rPr>
          <w:rFonts w:ascii="Times New Roman" w:eastAsia="Times New Roman" w:hAnsi="Times New Roman" w:cs="Times New Roman"/>
          <w:b/>
          <w:bCs/>
          <w:i/>
          <w:iCs/>
          <w:sz w:val="24"/>
          <w:szCs w:val="24"/>
          <w:u w:val="single"/>
          <w:lang w:eastAsia="en-SG"/>
        </w:rPr>
        <w:br/>
        <w:t> profits</w:t>
      </w:r>
      <w:r w:rsidRPr="005F5F47">
        <w:rPr>
          <w:rFonts w:ascii="Times New Roman" w:eastAsia="Times New Roman" w:hAnsi="Times New Roman" w:cs="Times New Roman"/>
          <w:sz w:val="24"/>
          <w:szCs w:val="24"/>
          <w:lang w:eastAsia="en-SG"/>
        </w:rPr>
        <w:t xml:space="preserve"> where, for instance, the DU is found to be engaged in market power abuse or anti-competitive </w:t>
      </w:r>
      <w:proofErr w:type="spellStart"/>
      <w:r w:rsidRPr="005F5F47">
        <w:rPr>
          <w:rFonts w:ascii="Times New Roman" w:eastAsia="Times New Roman" w:hAnsi="Times New Roman" w:cs="Times New Roman"/>
          <w:sz w:val="24"/>
          <w:szCs w:val="24"/>
          <w:lang w:eastAsia="en-SG"/>
        </w:rPr>
        <w:t>behavior</w:t>
      </w:r>
      <w:proofErr w:type="spellEnd"/>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[36]</w:t>
      </w:r>
      <w:r w:rsidRPr="005F5F47">
        <w:rPr>
          <w:rFonts w:ascii="Times New Roman" w:eastAsia="Times New Roman" w:hAnsi="Times New Roman" w:cs="Times New Roman"/>
          <w:sz w:val="24"/>
          <w:szCs w:val="24"/>
          <w:lang w:eastAsia="en-SG"/>
        </w:rPr>
        <w:t xml:space="preserve"> Thus: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lastRenderedPageBreak/>
        <w:t xml:space="preserve">SECTION 45. </w:t>
      </w:r>
      <w:r w:rsidRPr="005F5F47">
        <w:rPr>
          <w:rFonts w:ascii="Times New Roman" w:eastAsia="Times New Roman" w:hAnsi="Times New Roman" w:cs="Times New Roman"/>
          <w:i/>
          <w:iCs/>
          <w:sz w:val="24"/>
          <w:szCs w:val="24"/>
          <w:lang w:eastAsia="en-SG"/>
        </w:rPr>
        <w:t xml:space="preserve">Cross Ownership, Market Power Abuse and Anti-Competitive </w:t>
      </w:r>
      <w:proofErr w:type="spellStart"/>
      <w:r w:rsidRPr="005F5F47">
        <w:rPr>
          <w:rFonts w:ascii="Times New Roman" w:eastAsia="Times New Roman" w:hAnsi="Times New Roman" w:cs="Times New Roman"/>
          <w:i/>
          <w:iCs/>
          <w:sz w:val="24"/>
          <w:szCs w:val="24"/>
          <w:lang w:eastAsia="en-SG"/>
        </w:rPr>
        <w:t>Behavior</w:t>
      </w:r>
      <w:proofErr w:type="spellEnd"/>
      <w:r w:rsidRPr="005F5F47">
        <w:rPr>
          <w:rFonts w:ascii="Times New Roman" w:eastAsia="Times New Roman" w:hAnsi="Times New Roman" w:cs="Times New Roman"/>
          <w:sz w:val="24"/>
          <w:szCs w:val="24"/>
          <w:lang w:eastAsia="en-SG"/>
        </w:rPr>
        <w:t xml:space="preserve">. — No participant in the electricity industry or any other person may engage in any anti-competitive </w:t>
      </w:r>
      <w:proofErr w:type="spellStart"/>
      <w:r w:rsidRPr="005F5F47">
        <w:rPr>
          <w:rFonts w:ascii="Times New Roman" w:eastAsia="Times New Roman" w:hAnsi="Times New Roman" w:cs="Times New Roman"/>
          <w:sz w:val="24"/>
          <w:szCs w:val="24"/>
          <w:lang w:eastAsia="en-SG"/>
        </w:rPr>
        <w:t>behavior</w:t>
      </w:r>
      <w:proofErr w:type="spellEnd"/>
      <w:r w:rsidRPr="005F5F47">
        <w:rPr>
          <w:rFonts w:ascii="Times New Roman" w:eastAsia="Times New Roman" w:hAnsi="Times New Roman" w:cs="Times New Roman"/>
          <w:sz w:val="24"/>
          <w:szCs w:val="24"/>
          <w:lang w:eastAsia="en-SG"/>
        </w:rPr>
        <w:t xml:space="preserve"> including, but not limited to, cross-subsidization, price or market manipulation, or other unfair trade practices detrimental to the encouragement and protection of contestable markets.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To promote true market competition and prevent harmful monopoly and market power abuse, the ERC shall enforce the following safeguards: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(a) No company or related group can own, operate or control more than thirty percent (30%) of the installed generating capacity of a grid and/or twenty-five percent (25%) of the national installed generating capacity. "Related group" includes a person's business interests, including its subsidiaries, affiliates, directors or officers or any of their relatives by consanguinity or affinity, legitimate or common law, within the fourth civil degree</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 xml:space="preserve">(b) </w:t>
      </w:r>
      <w:r w:rsidRPr="005F5F47">
        <w:rPr>
          <w:rFonts w:ascii="Times New Roman" w:eastAsia="Times New Roman" w:hAnsi="Times New Roman" w:cs="Times New Roman"/>
          <w:b/>
          <w:bCs/>
          <w:sz w:val="24"/>
          <w:szCs w:val="24"/>
          <w:u w:val="single"/>
          <w:lang w:eastAsia="en-SG"/>
        </w:rPr>
        <w:t>Distribution utilities may enter into bilateral power supply contracts subject to review by the ERC</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Provided</w:t>
      </w:r>
      <w:r w:rsidRPr="005F5F47">
        <w:rPr>
          <w:rFonts w:ascii="Times New Roman" w:eastAsia="Times New Roman" w:hAnsi="Times New Roman" w:cs="Times New Roman"/>
          <w:sz w:val="24"/>
          <w:szCs w:val="24"/>
          <w:lang w:eastAsia="en-SG"/>
        </w:rPr>
        <w:t xml:space="preserve">, That such review shall only be required for distribution utilities whose markets have not reached household demand level. </w:t>
      </w:r>
      <w:r w:rsidRPr="005F5F47">
        <w:rPr>
          <w:rFonts w:ascii="Times New Roman" w:eastAsia="Times New Roman" w:hAnsi="Times New Roman" w:cs="Times New Roman"/>
          <w:b/>
          <w:bCs/>
          <w:sz w:val="24"/>
          <w:szCs w:val="24"/>
          <w:u w:val="single"/>
          <w:lang w:eastAsia="en-SG"/>
        </w:rPr>
        <w:t>For the purpose of preventing market power abuse between associated firms engaged in generation and distribution, no distribution utility shall be allowed to source from bilateral power supply contracts more than fifty percent (50%) of its total demand from an associated firm engaged in generation</w:t>
      </w:r>
      <w:r w:rsidRPr="005F5F47">
        <w:rPr>
          <w:rFonts w:ascii="Times New Roman" w:eastAsia="Times New Roman" w:hAnsi="Times New Roman" w:cs="Times New Roman"/>
          <w:sz w:val="24"/>
          <w:szCs w:val="24"/>
          <w:lang w:eastAsia="en-SG"/>
        </w:rPr>
        <w:t xml:space="preserve"> but such limitation, however, shall not prejudice contracts entered into prior to the effectivity of this Act. An associated firm with respect to another entity refers to any person which, alone or together with any other person, directly or indirectly, through one or more intermediaries, controls, is controlled by, or is under common control with, such entity; and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(c) For the first five (5) years from the establishment of the wholesale electricity spot market, no distribution utility shall source more than ninety percent (90%) of its total demand from bilateral power supply contracts.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 xml:space="preserve">The ERC shall, </w:t>
      </w:r>
      <w:proofErr w:type="spellStart"/>
      <w:r w:rsidRPr="005F5F47">
        <w:rPr>
          <w:rFonts w:ascii="Times New Roman" w:eastAsia="Times New Roman" w:hAnsi="Times New Roman" w:cs="Times New Roman"/>
          <w:b/>
          <w:bCs/>
          <w:i/>
          <w:iCs/>
          <w:sz w:val="24"/>
          <w:szCs w:val="24"/>
          <w:lang w:eastAsia="en-SG"/>
        </w:rPr>
        <w:t>motu</w:t>
      </w:r>
      <w:proofErr w:type="spellEnd"/>
      <w:r w:rsidRPr="005F5F47">
        <w:rPr>
          <w:rFonts w:ascii="Times New Roman" w:eastAsia="Times New Roman" w:hAnsi="Times New Roman" w:cs="Times New Roman"/>
          <w:b/>
          <w:bCs/>
          <w:i/>
          <w:iCs/>
          <w:sz w:val="24"/>
          <w:szCs w:val="24"/>
          <w:lang w:eastAsia="en-SG"/>
        </w:rPr>
        <w:t xml:space="preserve"> </w:t>
      </w:r>
      <w:proofErr w:type="spellStart"/>
      <w:r w:rsidRPr="005F5F47">
        <w:rPr>
          <w:rFonts w:ascii="Times New Roman" w:eastAsia="Times New Roman" w:hAnsi="Times New Roman" w:cs="Times New Roman"/>
          <w:b/>
          <w:bCs/>
          <w:i/>
          <w:iCs/>
          <w:sz w:val="24"/>
          <w:szCs w:val="24"/>
          <w:lang w:eastAsia="en-SG"/>
        </w:rPr>
        <w:t>proprio</w:t>
      </w:r>
      <w:proofErr w:type="spellEnd"/>
      <w:r w:rsidRPr="005F5F47">
        <w:rPr>
          <w:rFonts w:ascii="Times New Roman" w:eastAsia="Times New Roman" w:hAnsi="Times New Roman" w:cs="Times New Roman"/>
          <w:b/>
          <w:bCs/>
          <w:sz w:val="24"/>
          <w:szCs w:val="24"/>
          <w:lang w:eastAsia="en-SG"/>
        </w:rPr>
        <w:t xml:space="preserve">, monitor and penalize any market power abuse or anti-competitive or discriminatory act or </w:t>
      </w:r>
      <w:proofErr w:type="spellStart"/>
      <w:r w:rsidRPr="005F5F47">
        <w:rPr>
          <w:rFonts w:ascii="Times New Roman" w:eastAsia="Times New Roman" w:hAnsi="Times New Roman" w:cs="Times New Roman"/>
          <w:b/>
          <w:bCs/>
          <w:sz w:val="24"/>
          <w:szCs w:val="24"/>
          <w:lang w:eastAsia="en-SG"/>
        </w:rPr>
        <w:t>behavior</w:t>
      </w:r>
      <w:proofErr w:type="spellEnd"/>
      <w:r w:rsidRPr="005F5F47">
        <w:rPr>
          <w:rFonts w:ascii="Times New Roman" w:eastAsia="Times New Roman" w:hAnsi="Times New Roman" w:cs="Times New Roman"/>
          <w:b/>
          <w:bCs/>
          <w:sz w:val="24"/>
          <w:szCs w:val="24"/>
          <w:lang w:eastAsia="en-SG"/>
        </w:rPr>
        <w:t xml:space="preserve"> by any participant in the electric power industry. </w:t>
      </w:r>
      <w:r w:rsidRPr="005F5F47">
        <w:rPr>
          <w:rFonts w:ascii="Times New Roman" w:eastAsia="Times New Roman" w:hAnsi="Times New Roman" w:cs="Times New Roman"/>
          <w:b/>
          <w:bCs/>
          <w:sz w:val="24"/>
          <w:szCs w:val="24"/>
          <w:u w:val="single"/>
          <w:lang w:eastAsia="en-SG"/>
        </w:rPr>
        <w:t xml:space="preserve">Upon finding that a market participant has engaged in such act or </w:t>
      </w:r>
      <w:proofErr w:type="spellStart"/>
      <w:r w:rsidRPr="005F5F47">
        <w:rPr>
          <w:rFonts w:ascii="Times New Roman" w:eastAsia="Times New Roman" w:hAnsi="Times New Roman" w:cs="Times New Roman"/>
          <w:b/>
          <w:bCs/>
          <w:sz w:val="24"/>
          <w:szCs w:val="24"/>
          <w:u w:val="single"/>
          <w:lang w:eastAsia="en-SG"/>
        </w:rPr>
        <w:t>behavior</w:t>
      </w:r>
      <w:proofErr w:type="spellEnd"/>
      <w:r w:rsidRPr="005F5F47">
        <w:rPr>
          <w:rFonts w:ascii="Times New Roman" w:eastAsia="Times New Roman" w:hAnsi="Times New Roman" w:cs="Times New Roman"/>
          <w:b/>
          <w:bCs/>
          <w:sz w:val="24"/>
          <w:szCs w:val="24"/>
          <w:u w:val="single"/>
          <w:lang w:eastAsia="en-SG"/>
        </w:rPr>
        <w:t>, the ERC shall stop and redress the same.</w:t>
      </w:r>
      <w:r w:rsidRPr="005F5F47">
        <w:rPr>
          <w:rFonts w:ascii="Times New Roman" w:eastAsia="Times New Roman" w:hAnsi="Times New Roman" w:cs="Times New Roman"/>
          <w:b/>
          <w:bCs/>
          <w:sz w:val="24"/>
          <w:szCs w:val="24"/>
          <w:lang w:eastAsia="en-SG"/>
        </w:rPr>
        <w:t xml:space="preserve"> Such remedies shall, without limitation, include the </w:t>
      </w:r>
      <w:r w:rsidRPr="005F5F47">
        <w:rPr>
          <w:rFonts w:ascii="Times New Roman" w:eastAsia="Times New Roman" w:hAnsi="Times New Roman" w:cs="Times New Roman"/>
          <w:b/>
          <w:bCs/>
          <w:sz w:val="24"/>
          <w:szCs w:val="24"/>
          <w:u w:val="single"/>
          <w:lang w:eastAsia="en-SG"/>
        </w:rPr>
        <w:t>imposition of price controls, issuance of injunctions, requirement of divestment or disgorgement of excess profits</w:t>
      </w:r>
      <w:r w:rsidRPr="005F5F47">
        <w:rPr>
          <w:rFonts w:ascii="Times New Roman" w:eastAsia="Times New Roman" w:hAnsi="Times New Roman" w:cs="Times New Roman"/>
          <w:b/>
          <w:bCs/>
          <w:sz w:val="24"/>
          <w:szCs w:val="24"/>
          <w:lang w:eastAsia="en-SG"/>
        </w:rPr>
        <w:t xml:space="preserve"> and imposition of fines and penalties pursuant to this Act.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ERC shall, within one (1) year from the effectivity of this Act, promulgate rules and regulations providing for a complaint procedure that, without limitation, provides the accused party with notice and an opportunity to be heard. (Emphasis and underscoring supplied)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That the ERC possesses inherent and sufficient powers to control the price of electricity is supported not just by the foregoing letter of the EPIRA, but also by the following deliberations of the Senate on the said law:</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lastRenderedPageBreak/>
        <w:t>Senator Guingona.  What about the term "excess profits"? What does that mean?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w:t>
      </w:r>
      <w:proofErr w:type="spellStart"/>
      <w:r w:rsidRPr="005F5F47">
        <w:rPr>
          <w:rFonts w:ascii="Times New Roman" w:eastAsia="Times New Roman" w:hAnsi="Times New Roman" w:cs="Times New Roman"/>
          <w:sz w:val="24"/>
          <w:szCs w:val="24"/>
          <w:lang w:eastAsia="en-SG"/>
        </w:rPr>
        <w:t>Osmeña</w:t>
      </w:r>
      <w:proofErr w:type="spellEnd"/>
      <w:r w:rsidRPr="005F5F47">
        <w:rPr>
          <w:rFonts w:ascii="Times New Roman" w:eastAsia="Times New Roman" w:hAnsi="Times New Roman" w:cs="Times New Roman"/>
          <w:sz w:val="24"/>
          <w:szCs w:val="24"/>
          <w:lang w:eastAsia="en-SG"/>
        </w:rPr>
        <w:t xml:space="preserve"> (J). Mr. President, obviously, if the GENCOs are charging more than what they should, -- although I do not see how that could possibly happen, because the line starts actually with 29jj and it says "upon the finding," and there has to be a finding that a market participant has engaged in such act or </w:t>
      </w:r>
      <w:proofErr w:type="spellStart"/>
      <w:r w:rsidRPr="005F5F47">
        <w:rPr>
          <w:rFonts w:ascii="Times New Roman" w:eastAsia="Times New Roman" w:hAnsi="Times New Roman" w:cs="Times New Roman"/>
          <w:sz w:val="24"/>
          <w:szCs w:val="24"/>
          <w:lang w:eastAsia="en-SG"/>
        </w:rPr>
        <w:t>behavior</w:t>
      </w:r>
      <w:proofErr w:type="spellEnd"/>
      <w:r w:rsidRPr="005F5F47">
        <w:rPr>
          <w:rFonts w:ascii="Times New Roman" w:eastAsia="Times New Roman" w:hAnsi="Times New Roman" w:cs="Times New Roman"/>
          <w:sz w:val="24"/>
          <w:szCs w:val="24"/>
          <w:lang w:eastAsia="en-SG"/>
        </w:rPr>
        <w:t>, meaning anticompetitive or discriminatory act or abuse of market power -- the ERC shall stop and redress the same. Such remedies shall, without limitation, include the imposition of price controls, the issuance of injunctions, the requirement of divestment or disgorgement of excess profits and the imposition of fines and penalties.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Those are the remedies that the law allows the regulator to impose in the event that it has a finding of an abuse of market power, anticompetitive </w:t>
      </w:r>
      <w:proofErr w:type="spellStart"/>
      <w:r w:rsidRPr="005F5F47">
        <w:rPr>
          <w:rFonts w:ascii="Times New Roman" w:eastAsia="Times New Roman" w:hAnsi="Times New Roman" w:cs="Times New Roman"/>
          <w:sz w:val="24"/>
          <w:szCs w:val="24"/>
          <w:lang w:eastAsia="en-SG"/>
        </w:rPr>
        <w:t>behavior</w:t>
      </w:r>
      <w:proofErr w:type="spellEnd"/>
      <w:r w:rsidRPr="005F5F47">
        <w:rPr>
          <w:rFonts w:ascii="Times New Roman" w:eastAsia="Times New Roman" w:hAnsi="Times New Roman" w:cs="Times New Roman"/>
          <w:sz w:val="24"/>
          <w:szCs w:val="24"/>
          <w:lang w:eastAsia="en-SG"/>
        </w:rPr>
        <w:t xml:space="preserve"> or discriminatory action.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Guingona. Supposing that the GENCO, which is owned 30% by a distributor, owns not only the shares of that distributor, but the distributor and the GENCO both commonly own the </w:t>
      </w:r>
      <w:proofErr w:type="spellStart"/>
      <w:r w:rsidRPr="005F5F47">
        <w:rPr>
          <w:rFonts w:ascii="Times New Roman" w:eastAsia="Times New Roman" w:hAnsi="Times New Roman" w:cs="Times New Roman"/>
          <w:sz w:val="24"/>
          <w:szCs w:val="24"/>
          <w:lang w:eastAsia="en-SG"/>
        </w:rPr>
        <w:t>subtransformer</w:t>
      </w:r>
      <w:proofErr w:type="spellEnd"/>
      <w:r w:rsidRPr="005F5F47">
        <w:rPr>
          <w:rFonts w:ascii="Times New Roman" w:eastAsia="Times New Roman" w:hAnsi="Times New Roman" w:cs="Times New Roman"/>
          <w:sz w:val="24"/>
          <w:szCs w:val="24"/>
          <w:lang w:eastAsia="en-SG"/>
        </w:rPr>
        <w:t xml:space="preserve"> and they enter into a contract at a certain price which is higher than the others. The distributor prefers to buy the electric power from the GENCO because the GENCO is reliable and has shown efficiency in the regular and constant delivery of power service. As a result, it gets more profits. Would that be an excess profit warranting price controls?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w:t>
      </w:r>
      <w:proofErr w:type="spellStart"/>
      <w:r w:rsidRPr="005F5F47">
        <w:rPr>
          <w:rFonts w:ascii="Times New Roman" w:eastAsia="Times New Roman" w:hAnsi="Times New Roman" w:cs="Times New Roman"/>
          <w:sz w:val="24"/>
          <w:szCs w:val="24"/>
          <w:lang w:eastAsia="en-SG"/>
        </w:rPr>
        <w:t>Osmeña</w:t>
      </w:r>
      <w:proofErr w:type="spellEnd"/>
      <w:r w:rsidRPr="005F5F47">
        <w:rPr>
          <w:rFonts w:ascii="Times New Roman" w:eastAsia="Times New Roman" w:hAnsi="Times New Roman" w:cs="Times New Roman"/>
          <w:sz w:val="24"/>
          <w:szCs w:val="24"/>
          <w:lang w:eastAsia="en-SG"/>
        </w:rPr>
        <w:t xml:space="preserve"> (J). Mr. President, there are a number of, shall we say, conditions or circumstances that the gentleman is talking about all in one situation. </w:t>
      </w:r>
      <w:r w:rsidRPr="005F5F47">
        <w:rPr>
          <w:rFonts w:ascii="Times New Roman" w:eastAsia="Times New Roman" w:hAnsi="Times New Roman" w:cs="Times New Roman"/>
          <w:b/>
          <w:bCs/>
          <w:sz w:val="24"/>
          <w:szCs w:val="24"/>
          <w:u w:val="single"/>
          <w:lang w:eastAsia="en-SG"/>
        </w:rPr>
        <w:t xml:space="preserve">But the fact is that, the price at which a distribution utility sells to its customers is regulated by the regulatory body. If that distribution utility buys power at a higher rate than the full price, the ERB will not allow it to charge the difference. </w:t>
      </w:r>
      <w:r w:rsidRPr="005F5F47">
        <w:rPr>
          <w:rFonts w:ascii="Times New Roman" w:eastAsia="Times New Roman" w:hAnsi="Times New Roman" w:cs="Times New Roman"/>
          <w:b/>
          <w:bCs/>
          <w:i/>
          <w:iCs/>
          <w:sz w:val="24"/>
          <w:szCs w:val="24"/>
          <w:u w:val="single"/>
          <w:lang w:eastAsia="en-SG"/>
        </w:rPr>
        <w:t>So, there is a control of how much it can sell this power because that control is coming from the regulatory authority</w:t>
      </w:r>
      <w:r w:rsidRPr="005F5F47">
        <w:rPr>
          <w:rFonts w:ascii="Times New Roman" w:eastAsia="Times New Roman" w:hAnsi="Times New Roman" w:cs="Times New Roman"/>
          <w:b/>
          <w:bCs/>
          <w:sz w:val="24"/>
          <w:szCs w:val="24"/>
          <w:u w:val="single"/>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question is whether, hypothetic-ally, a distribution company may choose on the ground of better service or reliability to buy power from a distribution company at a higher cost than its competitor. And the answer to that question is in the affirmative, Mr. President.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If the distribution company makes money in excess of what is generally accepted as the norm of return, then that would be what we call excess profits.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Guingona. </w:t>
      </w:r>
      <w:r w:rsidRPr="005F5F47">
        <w:rPr>
          <w:rFonts w:ascii="Times New Roman" w:eastAsia="Times New Roman" w:hAnsi="Times New Roman" w:cs="Times New Roman"/>
          <w:b/>
          <w:bCs/>
          <w:sz w:val="24"/>
          <w:szCs w:val="24"/>
          <w:lang w:eastAsia="en-SG"/>
        </w:rPr>
        <w:t>So, the ERC would be in a position to impose price controls?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u w:val="single"/>
          <w:lang w:eastAsia="en-SG"/>
        </w:rPr>
        <w:t xml:space="preserve">Senator </w:t>
      </w:r>
      <w:proofErr w:type="spellStart"/>
      <w:r w:rsidRPr="005F5F47">
        <w:rPr>
          <w:rFonts w:ascii="Times New Roman" w:eastAsia="Times New Roman" w:hAnsi="Times New Roman" w:cs="Times New Roman"/>
          <w:b/>
          <w:bCs/>
          <w:sz w:val="24"/>
          <w:szCs w:val="24"/>
          <w:u w:val="single"/>
          <w:lang w:eastAsia="en-SG"/>
        </w:rPr>
        <w:t>Osmeña</w:t>
      </w:r>
      <w:proofErr w:type="spellEnd"/>
      <w:r w:rsidRPr="005F5F47">
        <w:rPr>
          <w:rFonts w:ascii="Times New Roman" w:eastAsia="Times New Roman" w:hAnsi="Times New Roman" w:cs="Times New Roman"/>
          <w:b/>
          <w:bCs/>
          <w:sz w:val="24"/>
          <w:szCs w:val="24"/>
          <w:u w:val="single"/>
          <w:lang w:eastAsia="en-SG"/>
        </w:rPr>
        <w:t xml:space="preserve"> (J). That is correct, Mr. President. I mean, in an event like that, the ERC, in fact, does impose. That is the very nature of the ERC. Because the approval of the rates on power being sold by a distributor is subject to the approval of the ERC. So, that is price control, Mr. President.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u w:val="single"/>
          <w:lang w:eastAsia="en-SG"/>
        </w:rPr>
        <w:t>The electricity we buy has to be sold to us at a rate approved by the ERB right now. That is price control</w:t>
      </w:r>
      <w:proofErr w:type="gramStart"/>
      <w:r w:rsidRPr="005F5F47">
        <w:rPr>
          <w:rFonts w:ascii="Times New Roman" w:eastAsia="Times New Roman" w:hAnsi="Times New Roman" w:cs="Times New Roman"/>
          <w:b/>
          <w:bCs/>
          <w:sz w:val="24"/>
          <w:szCs w:val="24"/>
          <w:u w:val="single"/>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37]</w:t>
      </w:r>
      <w:r w:rsidRPr="005F5F47">
        <w:rPr>
          <w:rFonts w:ascii="Times New Roman" w:eastAsia="Times New Roman" w:hAnsi="Times New Roman" w:cs="Times New Roman"/>
          <w:sz w:val="24"/>
          <w:szCs w:val="24"/>
          <w:lang w:eastAsia="en-SG"/>
        </w:rPr>
        <w:t xml:space="preserve"> (Emphasis and underscoring supplied)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From the foregoing, it is crystal clear that the ERC holds sufficient power, </w:t>
      </w:r>
      <w:r w:rsidRPr="005F5F47">
        <w:rPr>
          <w:rFonts w:ascii="Times New Roman" w:eastAsia="Times New Roman" w:hAnsi="Times New Roman" w:cs="Times New Roman"/>
          <w:b/>
          <w:bCs/>
          <w:i/>
          <w:iCs/>
          <w:sz w:val="24"/>
          <w:szCs w:val="24"/>
          <w:lang w:eastAsia="en-SG"/>
        </w:rPr>
        <w:t>as the independent regulator of the industry</w:t>
      </w:r>
      <w:r w:rsidRPr="005F5F47">
        <w:rPr>
          <w:rFonts w:ascii="Times New Roman" w:eastAsia="Times New Roman" w:hAnsi="Times New Roman" w:cs="Times New Roman"/>
          <w:sz w:val="24"/>
          <w:szCs w:val="24"/>
          <w:lang w:eastAsia="en-SG"/>
        </w:rPr>
        <w:t xml:space="preserve">, to ensure that the prices of electricity passed on to the consumers are at a reasonable cost, </w:t>
      </w:r>
      <w:r w:rsidRPr="005F5F47">
        <w:rPr>
          <w:rFonts w:ascii="Times New Roman" w:eastAsia="Times New Roman" w:hAnsi="Times New Roman" w:cs="Times New Roman"/>
          <w:b/>
          <w:bCs/>
          <w:sz w:val="24"/>
          <w:szCs w:val="24"/>
          <w:u w:val="single"/>
          <w:lang w:eastAsia="en-SG"/>
        </w:rPr>
        <w:t>even without the conduct of the CSP</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Indeed, the EPIRA was passed as far back as 2001, or 18 years ago, and the DOE and ERC </w:t>
      </w:r>
      <w:r w:rsidRPr="005F5F47">
        <w:rPr>
          <w:rFonts w:ascii="Times New Roman" w:eastAsia="Times New Roman" w:hAnsi="Times New Roman" w:cs="Times New Roman"/>
          <w:sz w:val="24"/>
          <w:szCs w:val="24"/>
          <w:lang w:eastAsia="en-SG"/>
        </w:rPr>
        <w:lastRenderedPageBreak/>
        <w:t xml:space="preserve">only conceptualized the CSP in recent years. </w:t>
      </w:r>
      <w:r w:rsidRPr="005F5F47">
        <w:rPr>
          <w:rFonts w:ascii="Times New Roman" w:eastAsia="Times New Roman" w:hAnsi="Times New Roman" w:cs="Times New Roman"/>
          <w:b/>
          <w:bCs/>
          <w:sz w:val="24"/>
          <w:szCs w:val="24"/>
          <w:lang w:eastAsia="en-SG"/>
        </w:rPr>
        <w:t xml:space="preserve">Throughout the years that the EPIRA was already in effect, </w:t>
      </w:r>
      <w:r w:rsidRPr="005F5F47">
        <w:rPr>
          <w:rFonts w:ascii="Times New Roman" w:eastAsia="Times New Roman" w:hAnsi="Times New Roman" w:cs="Times New Roman"/>
          <w:b/>
          <w:bCs/>
          <w:i/>
          <w:iCs/>
          <w:sz w:val="24"/>
          <w:szCs w:val="24"/>
          <w:u w:val="single"/>
          <w:lang w:eastAsia="en-SG"/>
        </w:rPr>
        <w:t>and while there was still no CSP requirement in place</w:t>
      </w:r>
      <w:r w:rsidRPr="005F5F47">
        <w:rPr>
          <w:rFonts w:ascii="Times New Roman" w:eastAsia="Times New Roman" w:hAnsi="Times New Roman" w:cs="Times New Roman"/>
          <w:b/>
          <w:bCs/>
          <w:sz w:val="24"/>
          <w:szCs w:val="24"/>
          <w:lang w:eastAsia="en-SG"/>
        </w:rPr>
        <w:t>, the ERC had been continuously doing its mandate of regulating the industry — particularly the DUs — to ensure that the prices passed on to the consumers are at a reasonable cost.</w:t>
      </w:r>
      <w:r w:rsidRPr="005F5F47">
        <w:rPr>
          <w:rFonts w:ascii="Times New Roman" w:eastAsia="Times New Roman" w:hAnsi="Times New Roman" w:cs="Times New Roman"/>
          <w:sz w:val="24"/>
          <w:szCs w:val="24"/>
          <w:lang w:eastAsia="en-SG"/>
        </w:rPr>
        <w:t xml:space="preserve"> Again, this is supported by the EPIRA itself, as it provides: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SECTION 43. </w:t>
      </w:r>
      <w:r w:rsidRPr="005F5F47">
        <w:rPr>
          <w:rFonts w:ascii="Times New Roman" w:eastAsia="Times New Roman" w:hAnsi="Times New Roman" w:cs="Times New Roman"/>
          <w:i/>
          <w:iCs/>
          <w:sz w:val="24"/>
          <w:szCs w:val="24"/>
          <w:lang w:eastAsia="en-SG"/>
        </w:rPr>
        <w:t>Functions of the ERC</w:t>
      </w:r>
      <w:r w:rsidRPr="005F5F47">
        <w:rPr>
          <w:rFonts w:ascii="Times New Roman" w:eastAsia="Times New Roman" w:hAnsi="Times New Roman" w:cs="Times New Roman"/>
          <w:sz w:val="24"/>
          <w:szCs w:val="24"/>
          <w:lang w:eastAsia="en-SG"/>
        </w:rPr>
        <w:t>. — The ERC shall promote competition, encourage market development, ensure customer choice and penalize abuse of market power in the restructured electricity industry. In appropriate cases, the ERC is authorized to issue cease and desist order after due notice and hearing. Towards this end, it shall be responsible for the following key functions in the restructured industry</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(f) </w:t>
      </w:r>
      <w:r w:rsidRPr="005F5F47">
        <w:rPr>
          <w:rFonts w:ascii="Times New Roman" w:eastAsia="Times New Roman" w:hAnsi="Times New Roman" w:cs="Times New Roman"/>
          <w:b/>
          <w:bCs/>
          <w:sz w:val="24"/>
          <w:szCs w:val="24"/>
          <w:u w:val="single"/>
          <w:lang w:eastAsia="en-SG"/>
        </w:rPr>
        <w:t>In the public interest, establish and enforce a methodology for setting</w:t>
      </w:r>
      <w:r w:rsidRPr="005F5F47">
        <w:rPr>
          <w:rFonts w:ascii="Times New Roman" w:eastAsia="Times New Roman" w:hAnsi="Times New Roman" w:cs="Times New Roman"/>
          <w:sz w:val="24"/>
          <w:szCs w:val="24"/>
          <w:lang w:eastAsia="en-SG"/>
        </w:rPr>
        <w:t xml:space="preserve"> transmission and distribution wheeling rates and </w:t>
      </w:r>
      <w:r w:rsidRPr="005F5F47">
        <w:rPr>
          <w:rFonts w:ascii="Times New Roman" w:eastAsia="Times New Roman" w:hAnsi="Times New Roman" w:cs="Times New Roman"/>
          <w:b/>
          <w:bCs/>
          <w:sz w:val="24"/>
          <w:szCs w:val="24"/>
          <w:u w:val="single"/>
          <w:lang w:eastAsia="en-SG"/>
        </w:rPr>
        <w:t>retail rates for the captive market of a distribution utility</w:t>
      </w:r>
      <w:r w:rsidRPr="005F5F47">
        <w:rPr>
          <w:rFonts w:ascii="Times New Roman" w:eastAsia="Times New Roman" w:hAnsi="Times New Roman" w:cs="Times New Roman"/>
          <w:sz w:val="24"/>
          <w:szCs w:val="24"/>
          <w:lang w:eastAsia="en-SG"/>
        </w:rPr>
        <w:t xml:space="preserve">, taking into account all relevant considerations, including the efficiency or inefficiency of the regulated entities. The rates must be such as to allow the recovery of just and reasonable costs and a reasonable return on rate base (RORB) to enable the entity to operate viably. The ERC may adopt alternative forms of internationally-accepted rate-setting methodology as it may deem appropriate. </w:t>
      </w:r>
      <w:r w:rsidRPr="005F5F47">
        <w:rPr>
          <w:rFonts w:ascii="Times New Roman" w:eastAsia="Times New Roman" w:hAnsi="Times New Roman" w:cs="Times New Roman"/>
          <w:b/>
          <w:bCs/>
          <w:sz w:val="24"/>
          <w:szCs w:val="24"/>
          <w:u w:val="single"/>
          <w:lang w:eastAsia="en-SG"/>
        </w:rPr>
        <w:t>The rate-setting methodology so adopted and applied must ensure a reasonable price of electricity.</w:t>
      </w:r>
      <w:r w:rsidRPr="005F5F47">
        <w:rPr>
          <w:rFonts w:ascii="Times New Roman" w:eastAsia="Times New Roman" w:hAnsi="Times New Roman" w:cs="Times New Roman"/>
          <w:sz w:val="24"/>
          <w:szCs w:val="24"/>
          <w:lang w:eastAsia="en-SG"/>
        </w:rPr>
        <w:t xml:space="preserve"> The rates prescribed shall be non-discriminatory. To achieve this objective and to ensure the complete removal of cross subsidies, the cap on the recoverable rate of system losses prescribed in Section 10 of Republic Act No. 7832, is hereby amended and shall be replaced by caps which shall be determined by the ERC based on load density, sales mix, cost of service, delivery voltage and other technical considerations it may promulgate. The ERC shall determine such form of rate-setting methodology, which shall promote efficiency.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gramStart"/>
      <w:r w:rsidRPr="005F5F47">
        <w:rPr>
          <w:rFonts w:ascii="Times New Roman" w:eastAsia="Times New Roman" w:hAnsi="Times New Roman" w:cs="Times New Roman"/>
          <w:sz w:val="24"/>
          <w:szCs w:val="24"/>
          <w:lang w:eastAsia="en-SG"/>
        </w:rPr>
        <w:t>x</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38]</w:t>
      </w:r>
      <w:r w:rsidRPr="005F5F47">
        <w:rPr>
          <w:rFonts w:ascii="Times New Roman" w:eastAsia="Times New Roman" w:hAnsi="Times New Roman" w:cs="Times New Roman"/>
          <w:sz w:val="24"/>
          <w:szCs w:val="24"/>
          <w:lang w:eastAsia="en-SG"/>
        </w:rPr>
        <w:t xml:space="preserve"> (Emphasis and underscoring supplied)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In fact, the Implementing Rules and Regulations (IRR) of the EPIRA empowers the ERC </w:t>
      </w:r>
      <w:r w:rsidRPr="005F5F47">
        <w:rPr>
          <w:rFonts w:ascii="Times New Roman" w:eastAsia="Times New Roman" w:hAnsi="Times New Roman" w:cs="Times New Roman"/>
          <w:b/>
          <w:bCs/>
          <w:sz w:val="24"/>
          <w:szCs w:val="24"/>
          <w:u w:val="single"/>
          <w:lang w:eastAsia="en-SG"/>
        </w:rPr>
        <w:t xml:space="preserve">to </w:t>
      </w:r>
      <w:r w:rsidRPr="005F5F47">
        <w:rPr>
          <w:rFonts w:ascii="Times New Roman" w:eastAsia="Times New Roman" w:hAnsi="Times New Roman" w:cs="Times New Roman"/>
          <w:b/>
          <w:bCs/>
          <w:i/>
          <w:iCs/>
          <w:sz w:val="24"/>
          <w:szCs w:val="24"/>
          <w:u w:val="single"/>
          <w:lang w:eastAsia="en-SG"/>
        </w:rPr>
        <w:t>constantly</w:t>
      </w:r>
      <w:r w:rsidRPr="005F5F47">
        <w:rPr>
          <w:rFonts w:ascii="Times New Roman" w:eastAsia="Times New Roman" w:hAnsi="Times New Roman" w:cs="Times New Roman"/>
          <w:b/>
          <w:bCs/>
          <w:sz w:val="24"/>
          <w:szCs w:val="24"/>
          <w:u w:val="single"/>
          <w:lang w:eastAsia="en-SG"/>
        </w:rPr>
        <w:t xml:space="preserve"> and </w:t>
      </w:r>
      <w:r w:rsidRPr="005F5F47">
        <w:rPr>
          <w:rFonts w:ascii="Times New Roman" w:eastAsia="Times New Roman" w:hAnsi="Times New Roman" w:cs="Times New Roman"/>
          <w:b/>
          <w:bCs/>
          <w:i/>
          <w:iCs/>
          <w:sz w:val="24"/>
          <w:szCs w:val="24"/>
          <w:u w:val="single"/>
          <w:lang w:eastAsia="en-SG"/>
        </w:rPr>
        <w:t>continually</w:t>
      </w:r>
      <w:r w:rsidRPr="005F5F47">
        <w:rPr>
          <w:rFonts w:ascii="Times New Roman" w:eastAsia="Times New Roman" w:hAnsi="Times New Roman" w:cs="Times New Roman"/>
          <w:b/>
          <w:bCs/>
          <w:sz w:val="24"/>
          <w:szCs w:val="24"/>
          <w:u w:val="single"/>
          <w:lang w:eastAsia="en-SG"/>
        </w:rPr>
        <w:t xml:space="preserve"> monitor and accordingly penalize any anti-competitive act that distorts competition or harms consumers</w:t>
      </w:r>
      <w:r w:rsidRPr="005F5F47">
        <w:rPr>
          <w:rFonts w:ascii="Times New Roman" w:eastAsia="Times New Roman" w:hAnsi="Times New Roman" w:cs="Times New Roman"/>
          <w:sz w:val="24"/>
          <w:szCs w:val="24"/>
          <w:lang w:eastAsia="en-SG"/>
        </w:rPr>
        <w:t>, thus: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Section 7. ERC Responsibilities.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sz w:val="24"/>
          <w:szCs w:val="24"/>
          <w:lang w:eastAsia="en-SG"/>
        </w:rPr>
        <w:br/>
        <w:t> </w:t>
      </w:r>
    </w:p>
    <w:tbl>
      <w:tblPr>
        <w:tblW w:w="5000" w:type="pct"/>
        <w:tblCellSpacing w:w="0" w:type="dxa"/>
        <w:tblCellMar>
          <w:left w:w="0" w:type="dxa"/>
          <w:right w:w="0" w:type="dxa"/>
        </w:tblCellMar>
        <w:tblLook w:val="04A0" w:firstRow="1" w:lastRow="0" w:firstColumn="1" w:lastColumn="0" w:noHBand="0" w:noVBand="1"/>
      </w:tblPr>
      <w:tblGrid>
        <w:gridCol w:w="451"/>
        <w:gridCol w:w="8575"/>
      </w:tblGrid>
      <w:tr w:rsidR="005F5F47" w:rsidRPr="005F5F47" w:rsidTr="005F5F47">
        <w:trPr>
          <w:tblCellSpacing w:w="0" w:type="dxa"/>
        </w:trPr>
        <w:tc>
          <w:tcPr>
            <w:tcW w:w="2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(d) </w:t>
            </w:r>
          </w:p>
        </w:tc>
        <w:tc>
          <w:tcPr>
            <w:tcW w:w="47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ERC shall, </w:t>
            </w:r>
            <w:proofErr w:type="spellStart"/>
            <w:r w:rsidRPr="005F5F47">
              <w:rPr>
                <w:rFonts w:ascii="Times New Roman" w:eastAsia="Times New Roman" w:hAnsi="Times New Roman" w:cs="Times New Roman"/>
                <w:i/>
                <w:iCs/>
                <w:sz w:val="24"/>
                <w:szCs w:val="24"/>
                <w:lang w:eastAsia="en-SG"/>
              </w:rPr>
              <w:t>motu</w:t>
            </w:r>
            <w:proofErr w:type="spellEnd"/>
            <w:r w:rsidRPr="005F5F47">
              <w:rPr>
                <w:rFonts w:ascii="Times New Roman" w:eastAsia="Times New Roman" w:hAnsi="Times New Roman" w:cs="Times New Roman"/>
                <w:i/>
                <w:iCs/>
                <w:sz w:val="24"/>
                <w:szCs w:val="24"/>
                <w:lang w:eastAsia="en-SG"/>
              </w:rPr>
              <w:t xml:space="preserve"> </w:t>
            </w:r>
            <w:proofErr w:type="spellStart"/>
            <w:r w:rsidRPr="005F5F47">
              <w:rPr>
                <w:rFonts w:ascii="Times New Roman" w:eastAsia="Times New Roman" w:hAnsi="Times New Roman" w:cs="Times New Roman"/>
                <w:i/>
                <w:iCs/>
                <w:sz w:val="24"/>
                <w:szCs w:val="24"/>
                <w:lang w:eastAsia="en-SG"/>
              </w:rPr>
              <w:t>proprio</w:t>
            </w:r>
            <w:proofErr w:type="spellEnd"/>
            <w:r w:rsidRPr="005F5F47">
              <w:rPr>
                <w:rFonts w:ascii="Times New Roman" w:eastAsia="Times New Roman" w:hAnsi="Times New Roman" w:cs="Times New Roman"/>
                <w:sz w:val="24"/>
                <w:szCs w:val="24"/>
                <w:lang w:eastAsia="en-SG"/>
              </w:rPr>
              <w:t xml:space="preserve">, monitor and penalize any market power abuse or anti-competitive or unduly discriminatory act or </w:t>
            </w:r>
            <w:proofErr w:type="spellStart"/>
            <w:r w:rsidRPr="005F5F47">
              <w:rPr>
                <w:rFonts w:ascii="Times New Roman" w:eastAsia="Times New Roman" w:hAnsi="Times New Roman" w:cs="Times New Roman"/>
                <w:sz w:val="24"/>
                <w:szCs w:val="24"/>
                <w:lang w:eastAsia="en-SG"/>
              </w:rPr>
              <w:t>behavior</w:t>
            </w:r>
            <w:proofErr w:type="spellEnd"/>
            <w:r w:rsidRPr="005F5F47">
              <w:rPr>
                <w:rFonts w:ascii="Times New Roman" w:eastAsia="Times New Roman" w:hAnsi="Times New Roman" w:cs="Times New Roman"/>
                <w:sz w:val="24"/>
                <w:szCs w:val="24"/>
                <w:lang w:eastAsia="en-SG"/>
              </w:rPr>
              <w:t xml:space="preserve">, or any unfair trade practice that distorts competition or harms consumers, by any Electric Power Industry Participant. Upon a finding of a </w:t>
            </w:r>
            <w:r w:rsidRPr="005F5F47">
              <w:rPr>
                <w:rFonts w:ascii="Times New Roman" w:eastAsia="Times New Roman" w:hAnsi="Times New Roman" w:cs="Times New Roman"/>
                <w:i/>
                <w:iCs/>
                <w:sz w:val="24"/>
                <w:szCs w:val="24"/>
                <w:lang w:eastAsia="en-SG"/>
              </w:rPr>
              <w:t>prima facie</w:t>
            </w:r>
            <w:r w:rsidRPr="005F5F47">
              <w:rPr>
                <w:rFonts w:ascii="Times New Roman" w:eastAsia="Times New Roman" w:hAnsi="Times New Roman" w:cs="Times New Roman"/>
                <w:sz w:val="24"/>
                <w:szCs w:val="24"/>
                <w:lang w:eastAsia="en-SG"/>
              </w:rPr>
              <w:t xml:space="preserve"> case that an Electric Power Industry Participant has engaged in such act or </w:t>
            </w:r>
            <w:proofErr w:type="spellStart"/>
            <w:r w:rsidRPr="005F5F47">
              <w:rPr>
                <w:rFonts w:ascii="Times New Roman" w:eastAsia="Times New Roman" w:hAnsi="Times New Roman" w:cs="Times New Roman"/>
                <w:sz w:val="24"/>
                <w:szCs w:val="24"/>
                <w:lang w:eastAsia="en-SG"/>
              </w:rPr>
              <w:t>behavior</w:t>
            </w:r>
            <w:proofErr w:type="spellEnd"/>
            <w:r w:rsidRPr="005F5F47">
              <w:rPr>
                <w:rFonts w:ascii="Times New Roman" w:eastAsia="Times New Roman" w:hAnsi="Times New Roman" w:cs="Times New Roman"/>
                <w:sz w:val="24"/>
                <w:szCs w:val="24"/>
                <w:lang w:eastAsia="en-SG"/>
              </w:rPr>
              <w:t>, the ERC shall after due notice and hearing, stop and redress the same. Such remedies shall, without limitation, include the separation of the business activities of an Electric Power Industry Participant into different juridical entities, the imposition of bid or price controls, issuance of injunctions in accordance with the Rules of Court, divestment or disgorgement of excess profits, and imposition of fines and penalties pursuant to Section 46 of the Act.</w:t>
            </w:r>
            <w:r w:rsidRPr="005F5F47">
              <w:rPr>
                <w:rFonts w:ascii="Times New Roman" w:eastAsia="Times New Roman" w:hAnsi="Times New Roman" w:cs="Times New Roman"/>
                <w:color w:val="FF0000"/>
                <w:sz w:val="24"/>
                <w:szCs w:val="24"/>
                <w:vertAlign w:val="superscript"/>
                <w:lang w:eastAsia="en-SG"/>
              </w:rPr>
              <w:t>[39]</w:t>
            </w:r>
          </w:p>
        </w:tc>
      </w:tr>
    </w:tbl>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Further, bidding strategies that limit the market participation of a </w:t>
      </w:r>
      <w:proofErr w:type="spellStart"/>
      <w:r w:rsidRPr="005F5F47">
        <w:rPr>
          <w:rFonts w:ascii="Times New Roman" w:eastAsia="Times New Roman" w:hAnsi="Times New Roman" w:cs="Times New Roman"/>
          <w:sz w:val="24"/>
          <w:szCs w:val="24"/>
          <w:lang w:eastAsia="en-SG"/>
        </w:rPr>
        <w:t>GenCo</w:t>
      </w:r>
      <w:proofErr w:type="spellEnd"/>
      <w:r w:rsidRPr="005F5F47">
        <w:rPr>
          <w:rFonts w:ascii="Times New Roman" w:eastAsia="Times New Roman" w:hAnsi="Times New Roman" w:cs="Times New Roman"/>
          <w:sz w:val="24"/>
          <w:szCs w:val="24"/>
          <w:lang w:eastAsia="en-SG"/>
        </w:rPr>
        <w:t xml:space="preserve"> under conditions that will result in significant increases in market prices are considered anti-competitive </w:t>
      </w:r>
      <w:proofErr w:type="spellStart"/>
      <w:r w:rsidRPr="005F5F47">
        <w:rPr>
          <w:rFonts w:ascii="Times New Roman" w:eastAsia="Times New Roman" w:hAnsi="Times New Roman" w:cs="Times New Roman"/>
          <w:sz w:val="24"/>
          <w:szCs w:val="24"/>
          <w:lang w:eastAsia="en-SG"/>
        </w:rPr>
        <w:t>behavior</w:t>
      </w:r>
      <w:proofErr w:type="spellEnd"/>
      <w:r w:rsidRPr="005F5F47">
        <w:rPr>
          <w:rFonts w:ascii="Times New Roman" w:eastAsia="Times New Roman" w:hAnsi="Times New Roman" w:cs="Times New Roman"/>
          <w:sz w:val="24"/>
          <w:szCs w:val="24"/>
          <w:lang w:eastAsia="en-SG"/>
        </w:rPr>
        <w:t xml:space="preserve"> and unfair trade practice</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40]</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i/>
          <w:iCs/>
          <w:sz w:val="24"/>
          <w:szCs w:val="24"/>
          <w:u w:val="single"/>
          <w:lang w:eastAsia="en-SG"/>
        </w:rPr>
        <w:t>It is thus totally inaccurate and egregiously wrong to claim that the CSP</w:t>
      </w:r>
      <w:r w:rsidRPr="005F5F47">
        <w:rPr>
          <w:rFonts w:ascii="Times New Roman" w:eastAsia="Times New Roman" w:hAnsi="Times New Roman" w:cs="Times New Roman"/>
          <w:b/>
          <w:bCs/>
          <w:sz w:val="24"/>
          <w:szCs w:val="24"/>
          <w:lang w:eastAsia="en-SG"/>
        </w:rPr>
        <w:t xml:space="preserve"> "</w:t>
      </w:r>
      <w:r w:rsidRPr="005F5F47">
        <w:rPr>
          <w:rFonts w:ascii="Times New Roman" w:eastAsia="Times New Roman" w:hAnsi="Times New Roman" w:cs="Times New Roman"/>
          <w:b/>
          <w:bCs/>
          <w:i/>
          <w:iCs/>
          <w:sz w:val="24"/>
          <w:szCs w:val="24"/>
          <w:u w:val="single"/>
          <w:lang w:eastAsia="en-SG"/>
        </w:rPr>
        <w:t xml:space="preserve">is the only way to ensure a transparent and reasonable cost of </w:t>
      </w:r>
      <w:proofErr w:type="spellStart"/>
      <w:r w:rsidRPr="005F5F47">
        <w:rPr>
          <w:rFonts w:ascii="Times New Roman" w:eastAsia="Times New Roman" w:hAnsi="Times New Roman" w:cs="Times New Roman"/>
          <w:b/>
          <w:bCs/>
          <w:i/>
          <w:iCs/>
          <w:sz w:val="24"/>
          <w:szCs w:val="24"/>
          <w:u w:val="single"/>
          <w:lang w:eastAsia="en-SG"/>
        </w:rPr>
        <w:lastRenderedPageBreak/>
        <w:t>electricitv</w:t>
      </w:r>
      <w:proofErr w:type="spellEnd"/>
      <w:r w:rsidRPr="005F5F47">
        <w:rPr>
          <w:rFonts w:ascii="Times New Roman" w:eastAsia="Times New Roman" w:hAnsi="Times New Roman" w:cs="Times New Roman"/>
          <w:b/>
          <w:bCs/>
          <w:i/>
          <w:iCs/>
          <w:sz w:val="24"/>
          <w:szCs w:val="24"/>
          <w:u w:val="single"/>
          <w:lang w:eastAsia="en-SG"/>
        </w:rPr>
        <w:t xml:space="preserve"> to consumers</w:t>
      </w:r>
      <w:r w:rsidRPr="005F5F47">
        <w:rPr>
          <w:rFonts w:ascii="Times New Roman" w:eastAsia="Times New Roman" w:hAnsi="Times New Roman" w:cs="Times New Roman"/>
          <w:b/>
          <w:bCs/>
          <w:sz w:val="24"/>
          <w:szCs w:val="24"/>
          <w:u w:val="single"/>
          <w:lang w:eastAsia="en-SG"/>
        </w:rPr>
        <w:t>.</w:t>
      </w:r>
      <w:r w:rsidRPr="005F5F47">
        <w:rPr>
          <w:rFonts w:ascii="Times New Roman" w:eastAsia="Times New Roman" w:hAnsi="Times New Roman" w:cs="Times New Roman"/>
          <w:b/>
          <w:bCs/>
          <w:sz w:val="24"/>
          <w:szCs w:val="24"/>
          <w:lang w:eastAsia="en-SG"/>
        </w:rPr>
        <w:t>"</w:t>
      </w:r>
      <w:r w:rsidRPr="005F5F47">
        <w:rPr>
          <w:rFonts w:ascii="Times New Roman" w:eastAsia="Times New Roman" w:hAnsi="Times New Roman" w:cs="Times New Roman"/>
          <w:color w:val="FF0000"/>
          <w:sz w:val="24"/>
          <w:szCs w:val="24"/>
          <w:vertAlign w:val="superscript"/>
          <w:lang w:eastAsia="en-SG"/>
        </w:rPr>
        <w:t>[41</w:t>
      </w:r>
      <w:proofErr w:type="gramStart"/>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 xml:space="preserve">Indeed, it bears stressing that the CSP is </w:t>
      </w:r>
      <w:r w:rsidRPr="005F5F47">
        <w:rPr>
          <w:rFonts w:ascii="Times New Roman" w:eastAsia="Times New Roman" w:hAnsi="Times New Roman" w:cs="Times New Roman"/>
          <w:b/>
          <w:bCs/>
          <w:sz w:val="24"/>
          <w:szCs w:val="24"/>
          <w:u w:val="single"/>
          <w:lang w:eastAsia="en-SG"/>
        </w:rPr>
        <w:t>not</w:t>
      </w:r>
      <w:r w:rsidRPr="005F5F47">
        <w:rPr>
          <w:rFonts w:ascii="Times New Roman" w:eastAsia="Times New Roman" w:hAnsi="Times New Roman" w:cs="Times New Roman"/>
          <w:b/>
          <w:bCs/>
          <w:sz w:val="24"/>
          <w:szCs w:val="24"/>
          <w:lang w:eastAsia="en-SG"/>
        </w:rPr>
        <w:t xml:space="preserve"> required by the EPIRA itself.</w:t>
      </w:r>
      <w:r w:rsidRPr="005F5F47">
        <w:rPr>
          <w:rFonts w:ascii="Times New Roman" w:eastAsia="Times New Roman" w:hAnsi="Times New Roman" w:cs="Times New Roman"/>
          <w:sz w:val="24"/>
          <w:szCs w:val="24"/>
          <w:lang w:eastAsia="en-SG"/>
        </w:rPr>
        <w:t xml:space="preserve"> It is a mechanism which, in the DOE's and ERC's exercise of their wisdom, was envisioned to </w:t>
      </w:r>
      <w:r w:rsidRPr="005F5F47">
        <w:rPr>
          <w:rFonts w:ascii="Times New Roman" w:eastAsia="Times New Roman" w:hAnsi="Times New Roman" w:cs="Times New Roman"/>
          <w:b/>
          <w:bCs/>
          <w:i/>
          <w:iCs/>
          <w:sz w:val="24"/>
          <w:szCs w:val="24"/>
          <w:u w:val="single"/>
          <w:lang w:eastAsia="en-SG"/>
        </w:rPr>
        <w:t>further</w:t>
      </w:r>
      <w:r w:rsidRPr="005F5F47">
        <w:rPr>
          <w:rFonts w:ascii="Times New Roman" w:eastAsia="Times New Roman" w:hAnsi="Times New Roman" w:cs="Times New Roman"/>
          <w:sz w:val="24"/>
          <w:szCs w:val="24"/>
          <w:lang w:eastAsia="en-SG"/>
        </w:rPr>
        <w:t xml:space="preserve"> ensure the low cost of electricity.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Stated differently, the CSP requirement is merely a </w:t>
      </w:r>
      <w:r w:rsidRPr="005F5F47">
        <w:rPr>
          <w:rFonts w:ascii="Times New Roman" w:eastAsia="Times New Roman" w:hAnsi="Times New Roman" w:cs="Times New Roman"/>
          <w:b/>
          <w:bCs/>
          <w:i/>
          <w:iCs/>
          <w:sz w:val="24"/>
          <w:szCs w:val="24"/>
          <w:lang w:eastAsia="en-SG"/>
        </w:rPr>
        <w:t>policy decision</w:t>
      </w:r>
      <w:r w:rsidRPr="005F5F47">
        <w:rPr>
          <w:rFonts w:ascii="Times New Roman" w:eastAsia="Times New Roman" w:hAnsi="Times New Roman" w:cs="Times New Roman"/>
          <w:sz w:val="24"/>
          <w:szCs w:val="24"/>
          <w:lang w:eastAsia="en-SG"/>
        </w:rPr>
        <w:t xml:space="preserve"> by the DOE and implemented by the ERC to ensure the reasonableness of the cost of electricity. </w:t>
      </w:r>
      <w:r w:rsidRPr="005F5F47">
        <w:rPr>
          <w:rFonts w:ascii="Times New Roman" w:eastAsia="Times New Roman" w:hAnsi="Times New Roman" w:cs="Times New Roman"/>
          <w:b/>
          <w:bCs/>
          <w:sz w:val="24"/>
          <w:szCs w:val="24"/>
          <w:u w:val="single"/>
          <w:lang w:eastAsia="en-SG"/>
        </w:rPr>
        <w:t>It is only a tool. It is but one of the various means that the ERC may adopt to control the price of electricity and ensure that it is set at a reasonable cost.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i/>
          <w:iCs/>
          <w:sz w:val="24"/>
          <w:szCs w:val="24"/>
          <w:lang w:eastAsia="en-SG"/>
        </w:rPr>
        <w:t>Premature to claim that the CSP has been put into deep freeze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further rules that (a) postponing the effectivity of the CSP from June 30, 2015 to November 7, 2015 and again postponing the effectivity to April 30, 2016, or by 305 days, allows DUs to avoid the CSP, which took effect on June 30, 2015; and (b) the extension effectively freezes for 20 years the DOE-mandated CSP to the great prejudice of the public. The purpose of the CSP is to compel DUs to purchase their electric power at a transparent, fair, reasonable, and competitive cost, since this cost is passed on to consumers. The ERC's extension unconscionably placed this purpose in deep freeze for 20 years.</w:t>
      </w:r>
      <w:r w:rsidRPr="005F5F47">
        <w:rPr>
          <w:rFonts w:ascii="Times New Roman" w:eastAsia="Times New Roman" w:hAnsi="Times New Roman" w:cs="Times New Roman"/>
          <w:color w:val="FF0000"/>
          <w:sz w:val="24"/>
          <w:szCs w:val="24"/>
          <w:vertAlign w:val="superscript"/>
          <w:lang w:eastAsia="en-SG"/>
        </w:rPr>
        <w:t>[42]</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Further, according to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"[t]he postponement effectively prevented for at least 20 years the enforcement of a mechanism intended to ensure '</w:t>
      </w:r>
      <w:r w:rsidRPr="005F5F47">
        <w:rPr>
          <w:rFonts w:ascii="Times New Roman" w:eastAsia="Times New Roman" w:hAnsi="Times New Roman" w:cs="Times New Roman"/>
          <w:i/>
          <w:iCs/>
          <w:sz w:val="24"/>
          <w:szCs w:val="24"/>
          <w:lang w:eastAsia="en-SG"/>
        </w:rPr>
        <w:t>transparent and reasonable prices in a regime of free and fair competition</w:t>
      </w:r>
      <w:r w:rsidRPr="005F5F47">
        <w:rPr>
          <w:rFonts w:ascii="Times New Roman" w:eastAsia="Times New Roman" w:hAnsi="Times New Roman" w:cs="Times New Roman"/>
          <w:sz w:val="24"/>
          <w:szCs w:val="24"/>
          <w:lang w:eastAsia="en-SG"/>
        </w:rPr>
        <w:t xml:space="preserve">'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In short, in the absence of CSP there is no transparency in the purchase by DUs of electric power, and thus there is no assurance of the reasonableness of the power rates charged to consumers."</w:t>
      </w:r>
      <w:r w:rsidRPr="005F5F47">
        <w:rPr>
          <w:rFonts w:ascii="Times New Roman" w:eastAsia="Times New Roman" w:hAnsi="Times New Roman" w:cs="Times New Roman"/>
          <w:color w:val="FF0000"/>
          <w:sz w:val="24"/>
          <w:szCs w:val="24"/>
          <w:vertAlign w:val="superscript"/>
          <w:lang w:eastAsia="en-SG"/>
        </w:rPr>
        <w:t>[43</w:t>
      </w:r>
      <w:proofErr w:type="gramStart"/>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goes further and argues that the non-implementation of the CSP will affect the entire country as there are 83 PSAs filed with the ERC from April 16, 2016 to April 29, 2016, excluding the seven PSAs where </w:t>
      </w:r>
      <w:proofErr w:type="spellStart"/>
      <w:r w:rsidRPr="005F5F47">
        <w:rPr>
          <w:rFonts w:ascii="Times New Roman" w:eastAsia="Times New Roman" w:hAnsi="Times New Roman" w:cs="Times New Roman"/>
          <w:sz w:val="24"/>
          <w:szCs w:val="24"/>
          <w:lang w:eastAsia="en-SG"/>
        </w:rPr>
        <w:t>Meralco</w:t>
      </w:r>
      <w:proofErr w:type="spellEnd"/>
      <w:r w:rsidRPr="005F5F47">
        <w:rPr>
          <w:rFonts w:ascii="Times New Roman" w:eastAsia="Times New Roman" w:hAnsi="Times New Roman" w:cs="Times New Roman"/>
          <w:sz w:val="24"/>
          <w:szCs w:val="24"/>
          <w:lang w:eastAsia="en-SG"/>
        </w:rPr>
        <w:t xml:space="preserve"> is a contracting party.</w:t>
      </w:r>
      <w:r w:rsidRPr="005F5F47">
        <w:rPr>
          <w:rFonts w:ascii="Times New Roman" w:eastAsia="Times New Roman" w:hAnsi="Times New Roman" w:cs="Times New Roman"/>
          <w:color w:val="FF0000"/>
          <w:sz w:val="24"/>
          <w:szCs w:val="24"/>
          <w:vertAlign w:val="superscript"/>
          <w:lang w:eastAsia="en-SG"/>
        </w:rPr>
        <w:t>[44]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 again disagree.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As discussed, the EPIRA and the ERC already have mechanisms </w:t>
      </w:r>
      <w:r w:rsidRPr="005F5F47">
        <w:rPr>
          <w:rFonts w:ascii="Times New Roman" w:eastAsia="Times New Roman" w:hAnsi="Times New Roman" w:cs="Times New Roman"/>
          <w:b/>
          <w:bCs/>
          <w:sz w:val="24"/>
          <w:szCs w:val="24"/>
          <w:lang w:eastAsia="en-SG"/>
        </w:rPr>
        <w:t xml:space="preserve">in place </w:t>
      </w:r>
      <w:r w:rsidRPr="005F5F47">
        <w:rPr>
          <w:rFonts w:ascii="Times New Roman" w:eastAsia="Times New Roman" w:hAnsi="Times New Roman" w:cs="Times New Roman"/>
          <w:b/>
          <w:bCs/>
          <w:i/>
          <w:iCs/>
          <w:sz w:val="24"/>
          <w:szCs w:val="24"/>
          <w:lang w:eastAsia="en-SG"/>
        </w:rPr>
        <w:t>long before</w:t>
      </w:r>
      <w:r w:rsidRPr="005F5F47">
        <w:rPr>
          <w:rFonts w:ascii="Times New Roman" w:eastAsia="Times New Roman" w:hAnsi="Times New Roman" w:cs="Times New Roman"/>
          <w:b/>
          <w:bCs/>
          <w:sz w:val="24"/>
          <w:szCs w:val="24"/>
          <w:lang w:eastAsia="en-SG"/>
        </w:rPr>
        <w:t xml:space="preserve"> the decision to implement the CSP</w:t>
      </w:r>
      <w:r w:rsidRPr="005F5F47">
        <w:rPr>
          <w:rFonts w:ascii="Times New Roman" w:eastAsia="Times New Roman" w:hAnsi="Times New Roman" w:cs="Times New Roman"/>
          <w:sz w:val="24"/>
          <w:szCs w:val="24"/>
          <w:lang w:eastAsia="en-SG"/>
        </w:rPr>
        <w:t xml:space="preserve"> to ensure that the public will not be prejudiced.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Here, the ERC has yet to approve the PSAs. In fact, as of the filing of ERC's Comment, none of them had yet been approved</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45]</w:t>
      </w:r>
      <w:r w:rsidRPr="005F5F47">
        <w:rPr>
          <w:rFonts w:ascii="Times New Roman" w:eastAsia="Times New Roman" w:hAnsi="Times New Roman" w:cs="Times New Roman"/>
          <w:sz w:val="24"/>
          <w:szCs w:val="24"/>
          <w:lang w:eastAsia="en-SG"/>
        </w:rPr>
        <w:t xml:space="preserve"> The mere submission of the application for the approvals of the PSAs does not necessarily mean that the PSAs have been approved or will be approved.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 xml:space="preserve">Also, even though the PSAs did not undergo the CSP, this will </w:t>
      </w:r>
      <w:r w:rsidRPr="005F5F47">
        <w:rPr>
          <w:rFonts w:ascii="Times New Roman" w:eastAsia="Times New Roman" w:hAnsi="Times New Roman" w:cs="Times New Roman"/>
          <w:b/>
          <w:bCs/>
          <w:sz w:val="24"/>
          <w:szCs w:val="24"/>
          <w:u w:val="single"/>
          <w:lang w:eastAsia="en-SG"/>
        </w:rPr>
        <w:t>not</w:t>
      </w:r>
      <w:r w:rsidRPr="005F5F47">
        <w:rPr>
          <w:rFonts w:ascii="Times New Roman" w:eastAsia="Times New Roman" w:hAnsi="Times New Roman" w:cs="Times New Roman"/>
          <w:b/>
          <w:bCs/>
          <w:sz w:val="24"/>
          <w:szCs w:val="24"/>
          <w:lang w:eastAsia="en-SG"/>
        </w:rPr>
        <w:t xml:space="preserve"> mean that the public will be prejudiced.</w:t>
      </w:r>
      <w:r w:rsidRPr="005F5F47">
        <w:rPr>
          <w:rFonts w:ascii="Times New Roman" w:eastAsia="Times New Roman" w:hAnsi="Times New Roman" w:cs="Times New Roman"/>
          <w:sz w:val="24"/>
          <w:szCs w:val="24"/>
          <w:lang w:eastAsia="en-SG"/>
        </w:rPr>
        <w:t xml:space="preserve"> The applicant still has to show that the PSA it has entered into will still result in the least cost to its captive market. The ERC will still have to look into the many factors enumerated above, including the procurement process of the distribution utility, in order to see how the proposal from the </w:t>
      </w:r>
      <w:proofErr w:type="spellStart"/>
      <w:r w:rsidRPr="005F5F47">
        <w:rPr>
          <w:rFonts w:ascii="Times New Roman" w:eastAsia="Times New Roman" w:hAnsi="Times New Roman" w:cs="Times New Roman"/>
          <w:sz w:val="24"/>
          <w:szCs w:val="24"/>
          <w:lang w:eastAsia="en-SG"/>
        </w:rPr>
        <w:t>GenCo</w:t>
      </w:r>
      <w:proofErr w:type="spellEnd"/>
      <w:r w:rsidRPr="005F5F47">
        <w:rPr>
          <w:rFonts w:ascii="Times New Roman" w:eastAsia="Times New Roman" w:hAnsi="Times New Roman" w:cs="Times New Roman"/>
          <w:sz w:val="24"/>
          <w:szCs w:val="24"/>
          <w:lang w:eastAsia="en-SG"/>
        </w:rPr>
        <w:t xml:space="preserve"> will be the least costly to its captive market. In fact, one of the first things that the applicant will submit to the ERC is the effect of the contract on the overall rates of the DU</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It is therefore premature, if not </w:t>
      </w:r>
      <w:proofErr w:type="spellStart"/>
      <w:r w:rsidRPr="005F5F47">
        <w:rPr>
          <w:rFonts w:ascii="Times New Roman" w:eastAsia="Times New Roman" w:hAnsi="Times New Roman" w:cs="Times New Roman"/>
          <w:sz w:val="24"/>
          <w:szCs w:val="24"/>
          <w:lang w:eastAsia="en-SG"/>
        </w:rPr>
        <w:t>outrightly</w:t>
      </w:r>
      <w:proofErr w:type="spellEnd"/>
      <w:r w:rsidRPr="005F5F47">
        <w:rPr>
          <w:rFonts w:ascii="Times New Roman" w:eastAsia="Times New Roman" w:hAnsi="Times New Roman" w:cs="Times New Roman"/>
          <w:sz w:val="24"/>
          <w:szCs w:val="24"/>
          <w:lang w:eastAsia="en-SG"/>
        </w:rPr>
        <w:t xml:space="preserve"> erroneous, to claim that the executions of the PSAs </w:t>
      </w:r>
      <w:r w:rsidRPr="005F5F47">
        <w:rPr>
          <w:rFonts w:ascii="Times New Roman" w:eastAsia="Times New Roman" w:hAnsi="Times New Roman" w:cs="Times New Roman"/>
          <w:sz w:val="24"/>
          <w:szCs w:val="24"/>
          <w:lang w:eastAsia="en-SG"/>
        </w:rPr>
        <w:lastRenderedPageBreak/>
        <w:t xml:space="preserve">during the transition period have placed the CSP into "deep freeze" for the duration of the PSAs, and that the public will be prejudiced. During the transition period provided by Resolution No. 1, and even before the implementation of the CSP, the ERC, in compliance with its mandate under the EPIRA, has the power — </w:t>
      </w:r>
      <w:r w:rsidRPr="005F5F47">
        <w:rPr>
          <w:rFonts w:ascii="Times New Roman" w:eastAsia="Times New Roman" w:hAnsi="Times New Roman" w:cs="Times New Roman"/>
          <w:b/>
          <w:bCs/>
          <w:i/>
          <w:iCs/>
          <w:sz w:val="24"/>
          <w:szCs w:val="24"/>
          <w:lang w:eastAsia="en-SG"/>
        </w:rPr>
        <w:t>nay, the duty</w:t>
      </w:r>
      <w:r w:rsidRPr="005F5F47">
        <w:rPr>
          <w:rFonts w:ascii="Times New Roman" w:eastAsia="Times New Roman" w:hAnsi="Times New Roman" w:cs="Times New Roman"/>
          <w:sz w:val="24"/>
          <w:szCs w:val="24"/>
          <w:lang w:eastAsia="en-SG"/>
        </w:rPr>
        <w:t xml:space="preserve"> — to ensure that any bilateral power supply contracts entered into by the DUs will be consistent with their mandate that they supply electricity to their captive market in the least cost manner.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Although the CSP is one manner by which this is attained, its non-application to the PSAs in this case — which, again, have yet to be approved — does not mean that the PSAs would prejudice the public. Once more, the EPIRA and its IRR are clear that acts that harm customers and those that prohibit participation of </w:t>
      </w:r>
      <w:proofErr w:type="spellStart"/>
      <w:r w:rsidRPr="005F5F47">
        <w:rPr>
          <w:rFonts w:ascii="Times New Roman" w:eastAsia="Times New Roman" w:hAnsi="Times New Roman" w:cs="Times New Roman"/>
          <w:sz w:val="24"/>
          <w:szCs w:val="24"/>
          <w:lang w:eastAsia="en-SG"/>
        </w:rPr>
        <w:t>GenCos</w:t>
      </w:r>
      <w:proofErr w:type="spellEnd"/>
      <w:r w:rsidRPr="005F5F47">
        <w:rPr>
          <w:rFonts w:ascii="Times New Roman" w:eastAsia="Times New Roman" w:hAnsi="Times New Roman" w:cs="Times New Roman"/>
          <w:sz w:val="24"/>
          <w:szCs w:val="24"/>
          <w:lang w:eastAsia="en-SG"/>
        </w:rPr>
        <w:t xml:space="preserve"> to increase market prices are prohibited. </w:t>
      </w:r>
      <w:r w:rsidRPr="005F5F47">
        <w:rPr>
          <w:rFonts w:ascii="Times New Roman" w:eastAsia="Times New Roman" w:hAnsi="Times New Roman" w:cs="Times New Roman"/>
          <w:b/>
          <w:bCs/>
          <w:sz w:val="24"/>
          <w:szCs w:val="24"/>
          <w:u w:val="single"/>
          <w:lang w:eastAsia="en-SG"/>
        </w:rPr>
        <w:t>These preceded the institution of the CSP and remain to be in force even if the CSP is implemented.</w:t>
      </w:r>
      <w:r w:rsidRPr="005F5F47">
        <w:rPr>
          <w:rFonts w:ascii="Times New Roman" w:eastAsia="Times New Roman" w:hAnsi="Times New Roman" w:cs="Times New Roman"/>
          <w:b/>
          <w:bCs/>
          <w:sz w:val="24"/>
          <w:szCs w:val="24"/>
          <w:lang w:eastAsia="en-SG"/>
        </w:rPr>
        <w:t xml:space="preserve"> Thus, </w:t>
      </w:r>
      <w:r w:rsidRPr="005F5F47">
        <w:rPr>
          <w:rFonts w:ascii="Times New Roman" w:eastAsia="Times New Roman" w:hAnsi="Times New Roman" w:cs="Times New Roman"/>
          <w:b/>
          <w:bCs/>
          <w:i/>
          <w:iCs/>
          <w:sz w:val="24"/>
          <w:szCs w:val="24"/>
          <w:u w:val="single"/>
          <w:lang w:eastAsia="en-SG"/>
        </w:rPr>
        <w:t>with or without the CSP</w:t>
      </w:r>
      <w:r w:rsidRPr="005F5F47">
        <w:rPr>
          <w:rFonts w:ascii="Times New Roman" w:eastAsia="Times New Roman" w:hAnsi="Times New Roman" w:cs="Times New Roman"/>
          <w:b/>
          <w:bCs/>
          <w:sz w:val="24"/>
          <w:szCs w:val="24"/>
          <w:lang w:eastAsia="en-SG"/>
        </w:rPr>
        <w:t>, the public is protected from practices that harm them or that would result in market increases arising from non-competitive practices.</w:t>
      </w:r>
      <w:r w:rsidRPr="005F5F47">
        <w:rPr>
          <w:rFonts w:ascii="Times New Roman" w:eastAsia="Times New Roman" w:hAnsi="Times New Roman" w:cs="Times New Roman"/>
          <w:sz w:val="24"/>
          <w:szCs w:val="24"/>
          <w:lang w:eastAsia="en-SG"/>
        </w:rPr>
        <w:t xml:space="preserve"> As stated above, the ERC, among other powers, may direct the disgorgement of excess profits and impose price control mechanisms, all with the objective of ensuring the reasonableness of the price of electricity.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i/>
          <w:iCs/>
          <w:sz w:val="24"/>
          <w:szCs w:val="24"/>
          <w:lang w:eastAsia="en-SG"/>
        </w:rPr>
        <w:t>The ERC is an independent regulatory body separate and distinct from the DOE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rules that the ERC does not have the power to supplant the policies of the </w:t>
      </w:r>
      <w:proofErr w:type="gramStart"/>
      <w:r w:rsidRPr="005F5F47">
        <w:rPr>
          <w:rFonts w:ascii="Times New Roman" w:eastAsia="Times New Roman" w:hAnsi="Times New Roman" w:cs="Times New Roman"/>
          <w:sz w:val="24"/>
          <w:szCs w:val="24"/>
          <w:lang w:eastAsia="en-SG"/>
        </w:rPr>
        <w:t>DOE</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46]</w:t>
      </w:r>
      <w:r w:rsidRPr="005F5F47">
        <w:rPr>
          <w:rFonts w:ascii="Times New Roman" w:eastAsia="Times New Roman" w:hAnsi="Times New Roman" w:cs="Times New Roman"/>
          <w:sz w:val="24"/>
          <w:szCs w:val="24"/>
          <w:lang w:eastAsia="en-SG"/>
        </w:rPr>
        <w:t xml:space="preserve"> and that ERC's powers are limited to the enforcement of rules and regulations of the EPIRA.</w:t>
      </w:r>
      <w:r w:rsidRPr="005F5F47">
        <w:rPr>
          <w:rFonts w:ascii="Times New Roman" w:eastAsia="Times New Roman" w:hAnsi="Times New Roman" w:cs="Times New Roman"/>
          <w:color w:val="FF0000"/>
          <w:sz w:val="24"/>
          <w:szCs w:val="24"/>
          <w:vertAlign w:val="superscript"/>
          <w:lang w:eastAsia="en-SG"/>
        </w:rPr>
        <w:t>[47]</w:t>
      </w:r>
      <w:r w:rsidRPr="005F5F47">
        <w:rPr>
          <w:rFonts w:ascii="Times New Roman" w:eastAsia="Times New Roman" w:hAnsi="Times New Roman" w:cs="Times New Roman"/>
          <w:sz w:val="24"/>
          <w:szCs w:val="24"/>
          <w:lang w:eastAsia="en-SG"/>
        </w:rPr>
        <w:t xml:space="preserve"> However, it should be noted that in issuing Resolutions Nos. 13 and 1, the ERC did </w:t>
      </w:r>
      <w:r w:rsidRPr="005F5F47">
        <w:rPr>
          <w:rFonts w:ascii="Times New Roman" w:eastAsia="Times New Roman" w:hAnsi="Times New Roman" w:cs="Times New Roman"/>
          <w:i/>
          <w:iCs/>
          <w:sz w:val="24"/>
          <w:szCs w:val="24"/>
          <w:u w:val="single"/>
          <w:lang w:eastAsia="en-SG"/>
        </w:rPr>
        <w:t>not</w:t>
      </w:r>
      <w:r w:rsidRPr="005F5F47">
        <w:rPr>
          <w:rFonts w:ascii="Times New Roman" w:eastAsia="Times New Roman" w:hAnsi="Times New Roman" w:cs="Times New Roman"/>
          <w:sz w:val="24"/>
          <w:szCs w:val="24"/>
          <w:lang w:eastAsia="en-SG"/>
        </w:rPr>
        <w:t xml:space="preserve"> supplant any policy of the DOE.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First of all, it should be emphasized that the ERC, under the EPIRA, is a purely </w:t>
      </w:r>
      <w:r w:rsidRPr="005F5F47">
        <w:rPr>
          <w:rFonts w:ascii="Times New Roman" w:eastAsia="Times New Roman" w:hAnsi="Times New Roman" w:cs="Times New Roman"/>
          <w:b/>
          <w:bCs/>
          <w:sz w:val="24"/>
          <w:szCs w:val="24"/>
          <w:u w:val="single"/>
          <w:lang w:eastAsia="en-SG"/>
        </w:rPr>
        <w:t>independent</w:t>
      </w:r>
      <w:r w:rsidRPr="005F5F47">
        <w:rPr>
          <w:rFonts w:ascii="Times New Roman" w:eastAsia="Times New Roman" w:hAnsi="Times New Roman" w:cs="Times New Roman"/>
          <w:sz w:val="24"/>
          <w:szCs w:val="24"/>
          <w:lang w:eastAsia="en-SG"/>
        </w:rPr>
        <w:t xml:space="preserve"> regulatory body performing the combined quasi-judicial, quasi-legislative and administrative functions in the electric industry.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Section 38 of the EPIRA mandated the creation of an "independent, quasi-judicial regulatory body to be named the Energy Regulatory Commission." </w:t>
      </w:r>
      <w:r w:rsidRPr="005F5F47">
        <w:rPr>
          <w:rFonts w:ascii="Times New Roman" w:eastAsia="Times New Roman" w:hAnsi="Times New Roman" w:cs="Times New Roman"/>
          <w:b/>
          <w:bCs/>
          <w:sz w:val="24"/>
          <w:szCs w:val="24"/>
          <w:lang w:eastAsia="en-SG"/>
        </w:rPr>
        <w:t xml:space="preserve">To be sure, one of the most important changes introduced by the EPIRA in the restructuring of the energy industry was </w:t>
      </w:r>
      <w:r w:rsidRPr="005F5F47">
        <w:rPr>
          <w:rFonts w:ascii="Times New Roman" w:eastAsia="Times New Roman" w:hAnsi="Times New Roman" w:cs="Times New Roman"/>
          <w:b/>
          <w:bCs/>
          <w:sz w:val="24"/>
          <w:szCs w:val="24"/>
          <w:u w:val="single"/>
          <w:lang w:eastAsia="en-SG"/>
        </w:rPr>
        <w:t xml:space="preserve">the creation of an </w:t>
      </w:r>
      <w:r w:rsidRPr="005F5F47">
        <w:rPr>
          <w:rFonts w:ascii="Times New Roman" w:eastAsia="Times New Roman" w:hAnsi="Times New Roman" w:cs="Times New Roman"/>
          <w:b/>
          <w:bCs/>
          <w:i/>
          <w:iCs/>
          <w:sz w:val="24"/>
          <w:szCs w:val="24"/>
          <w:u w:val="single"/>
          <w:lang w:eastAsia="en-SG"/>
        </w:rPr>
        <w:t>independent regulatory body</w:t>
      </w:r>
      <w:r w:rsidRPr="005F5F47">
        <w:rPr>
          <w:rFonts w:ascii="Times New Roman" w:eastAsia="Times New Roman" w:hAnsi="Times New Roman" w:cs="Times New Roman"/>
          <w:b/>
          <w:bCs/>
          <w:sz w:val="24"/>
          <w:szCs w:val="24"/>
          <w:lang w:eastAsia="en-SG"/>
        </w:rPr>
        <w:t>.</w:t>
      </w:r>
      <w:r w:rsidRPr="005F5F47">
        <w:rPr>
          <w:rFonts w:ascii="Times New Roman" w:eastAsia="Times New Roman" w:hAnsi="Times New Roman" w:cs="Times New Roman"/>
          <w:sz w:val="24"/>
          <w:szCs w:val="24"/>
          <w:lang w:eastAsia="en-SG"/>
        </w:rPr>
        <w:t xml:space="preserve"> Section 2 of the EPIRA states: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SECTION 2. Declaration of Policy. — It is hereby declared the policy of the State</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(j) To establish a </w:t>
      </w:r>
      <w:r w:rsidRPr="005F5F47">
        <w:rPr>
          <w:rFonts w:ascii="Times New Roman" w:eastAsia="Times New Roman" w:hAnsi="Times New Roman" w:cs="Times New Roman"/>
          <w:b/>
          <w:bCs/>
          <w:sz w:val="24"/>
          <w:szCs w:val="24"/>
          <w:u w:val="single"/>
          <w:lang w:eastAsia="en-SG"/>
        </w:rPr>
        <w:t>strong</w:t>
      </w:r>
      <w:r w:rsidRPr="005F5F47">
        <w:rPr>
          <w:rFonts w:ascii="Times New Roman" w:eastAsia="Times New Roman" w:hAnsi="Times New Roman" w:cs="Times New Roman"/>
          <w:sz w:val="24"/>
          <w:szCs w:val="24"/>
          <w:lang w:eastAsia="en-SG"/>
        </w:rPr>
        <w:t xml:space="preserve"> and </w:t>
      </w:r>
      <w:r w:rsidRPr="005F5F47">
        <w:rPr>
          <w:rFonts w:ascii="Times New Roman" w:eastAsia="Times New Roman" w:hAnsi="Times New Roman" w:cs="Times New Roman"/>
          <w:b/>
          <w:bCs/>
          <w:sz w:val="24"/>
          <w:szCs w:val="24"/>
          <w:u w:val="single"/>
          <w:lang w:eastAsia="en-SG"/>
        </w:rPr>
        <w:t>purely independent regulatory body</w:t>
      </w:r>
      <w:r w:rsidRPr="005F5F47">
        <w:rPr>
          <w:rFonts w:ascii="Times New Roman" w:eastAsia="Times New Roman" w:hAnsi="Times New Roman" w:cs="Times New Roman"/>
          <w:sz w:val="24"/>
          <w:szCs w:val="24"/>
          <w:lang w:eastAsia="en-SG"/>
        </w:rPr>
        <w:t xml:space="preserve"> and system to ensure consumer protection and enhance the competitive operation of the electricity market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(Emphasis and underscoring supplied)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The deliberations of the Senate on the EPIRA also reveal that it was the intention of the legislature to create a regulatory body </w:t>
      </w:r>
      <w:r w:rsidRPr="005F5F47">
        <w:rPr>
          <w:rFonts w:ascii="Times New Roman" w:eastAsia="Times New Roman" w:hAnsi="Times New Roman" w:cs="Times New Roman"/>
          <w:b/>
          <w:bCs/>
          <w:sz w:val="24"/>
          <w:szCs w:val="24"/>
          <w:u w:val="single"/>
          <w:lang w:eastAsia="en-SG"/>
        </w:rPr>
        <w:t xml:space="preserve">that is </w:t>
      </w:r>
      <w:r w:rsidRPr="005F5F47">
        <w:rPr>
          <w:rFonts w:ascii="Times New Roman" w:eastAsia="Times New Roman" w:hAnsi="Times New Roman" w:cs="Times New Roman"/>
          <w:b/>
          <w:bCs/>
          <w:i/>
          <w:iCs/>
          <w:sz w:val="24"/>
          <w:szCs w:val="24"/>
          <w:u w:val="single"/>
          <w:lang w:eastAsia="en-SG"/>
        </w:rPr>
        <w:t>independent</w:t>
      </w:r>
      <w:r w:rsidRPr="005F5F47">
        <w:rPr>
          <w:rFonts w:ascii="Times New Roman" w:eastAsia="Times New Roman" w:hAnsi="Times New Roman" w:cs="Times New Roman"/>
          <w:b/>
          <w:bCs/>
          <w:sz w:val="24"/>
          <w:szCs w:val="24"/>
          <w:u w:val="single"/>
          <w:lang w:eastAsia="en-SG"/>
        </w:rPr>
        <w:t xml:space="preserve"> and </w:t>
      </w:r>
      <w:r w:rsidRPr="005F5F47">
        <w:rPr>
          <w:rFonts w:ascii="Times New Roman" w:eastAsia="Times New Roman" w:hAnsi="Times New Roman" w:cs="Times New Roman"/>
          <w:b/>
          <w:bCs/>
          <w:i/>
          <w:iCs/>
          <w:sz w:val="24"/>
          <w:szCs w:val="24"/>
          <w:u w:val="single"/>
          <w:lang w:eastAsia="en-SG"/>
        </w:rPr>
        <w:t>separate from</w:t>
      </w:r>
      <w:r w:rsidRPr="005F5F47">
        <w:rPr>
          <w:rFonts w:ascii="Times New Roman" w:eastAsia="Times New Roman" w:hAnsi="Times New Roman" w:cs="Times New Roman"/>
          <w:b/>
          <w:bCs/>
          <w:sz w:val="24"/>
          <w:szCs w:val="24"/>
          <w:u w:val="single"/>
          <w:lang w:eastAsia="en-SG"/>
        </w:rPr>
        <w:t xml:space="preserve"> the DOE</w:t>
      </w:r>
      <w:r w:rsidRPr="005F5F47">
        <w:rPr>
          <w:rFonts w:ascii="Times New Roman" w:eastAsia="Times New Roman" w:hAnsi="Times New Roman" w:cs="Times New Roman"/>
          <w:sz w:val="24"/>
          <w:szCs w:val="24"/>
          <w:lang w:eastAsia="en-SG"/>
        </w:rPr>
        <w:t>:</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Senator Guingona. I thank the gentleman for that. The Distribution Code, however, shall be prepared by the Energy Regulatory Commission (ERC) and the wheeling rates and connection fees from the residents of the mountaintop will have to be approved by the ERC.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w:t>
      </w:r>
      <w:proofErr w:type="spellStart"/>
      <w:r w:rsidRPr="005F5F47">
        <w:rPr>
          <w:rFonts w:ascii="Times New Roman" w:eastAsia="Times New Roman" w:hAnsi="Times New Roman" w:cs="Times New Roman"/>
          <w:sz w:val="24"/>
          <w:szCs w:val="24"/>
          <w:lang w:eastAsia="en-SG"/>
        </w:rPr>
        <w:t>Osmeña</w:t>
      </w:r>
      <w:proofErr w:type="spellEnd"/>
      <w:r w:rsidRPr="005F5F47">
        <w:rPr>
          <w:rFonts w:ascii="Times New Roman" w:eastAsia="Times New Roman" w:hAnsi="Times New Roman" w:cs="Times New Roman"/>
          <w:sz w:val="24"/>
          <w:szCs w:val="24"/>
          <w:lang w:eastAsia="en-SG"/>
        </w:rPr>
        <w:t xml:space="preserve"> (J). That is correct, Mr. President.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Guingona. We were under the impression before when we were deliberating on the Energy Regulatory Authority that it was the Energy Regulatory Authority that would impose </w:t>
      </w:r>
      <w:r w:rsidRPr="005F5F47">
        <w:rPr>
          <w:rFonts w:ascii="Times New Roman" w:eastAsia="Times New Roman" w:hAnsi="Times New Roman" w:cs="Times New Roman"/>
          <w:sz w:val="24"/>
          <w:szCs w:val="24"/>
          <w:lang w:eastAsia="en-SG"/>
        </w:rPr>
        <w:lastRenderedPageBreak/>
        <w:t>or determine the prices of electricity for distributors.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w:t>
      </w:r>
      <w:proofErr w:type="spellStart"/>
      <w:r w:rsidRPr="005F5F47">
        <w:rPr>
          <w:rFonts w:ascii="Times New Roman" w:eastAsia="Times New Roman" w:hAnsi="Times New Roman" w:cs="Times New Roman"/>
          <w:sz w:val="24"/>
          <w:szCs w:val="24"/>
          <w:lang w:eastAsia="en-SG"/>
        </w:rPr>
        <w:t>Osmeña</w:t>
      </w:r>
      <w:proofErr w:type="spellEnd"/>
      <w:r w:rsidRPr="005F5F47">
        <w:rPr>
          <w:rFonts w:ascii="Times New Roman" w:eastAsia="Times New Roman" w:hAnsi="Times New Roman" w:cs="Times New Roman"/>
          <w:sz w:val="24"/>
          <w:szCs w:val="24"/>
          <w:lang w:eastAsia="en-SG"/>
        </w:rPr>
        <w:t xml:space="preserve"> (J). Mr. President, I am sorry for the confusion. When we passed on Second Reading the Energy Regulatory Authority bill, the suggestion, I think, made on the Floor of Sen. Serge </w:t>
      </w:r>
      <w:proofErr w:type="spellStart"/>
      <w:r w:rsidRPr="005F5F47">
        <w:rPr>
          <w:rFonts w:ascii="Times New Roman" w:eastAsia="Times New Roman" w:hAnsi="Times New Roman" w:cs="Times New Roman"/>
          <w:sz w:val="24"/>
          <w:szCs w:val="24"/>
          <w:lang w:eastAsia="en-SG"/>
        </w:rPr>
        <w:t>Osmeña</w:t>
      </w:r>
      <w:proofErr w:type="spellEnd"/>
      <w:r w:rsidRPr="005F5F47">
        <w:rPr>
          <w:rFonts w:ascii="Times New Roman" w:eastAsia="Times New Roman" w:hAnsi="Times New Roman" w:cs="Times New Roman"/>
          <w:sz w:val="24"/>
          <w:szCs w:val="24"/>
          <w:lang w:eastAsia="en-SG"/>
        </w:rPr>
        <w:t xml:space="preserve"> was that all regulatory bodies would be referred to uniformly. I think we agreed that all of them would be referred to as a commission.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u w:val="single"/>
          <w:lang w:eastAsia="en-SG"/>
        </w:rPr>
        <w:t>Anyway, Mr. President, whether we call it as a board, a commission or an authority, it is the regulator or the regulatory body.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Guingona. I thank the gentleman for that, Mr. President. But there seems to be some difference because the Energy Regulatory Commission would be under the Department of Energy or attached to it and </w:t>
      </w:r>
      <w:r w:rsidRPr="005F5F47">
        <w:rPr>
          <w:rFonts w:ascii="Times New Roman" w:eastAsia="Times New Roman" w:hAnsi="Times New Roman" w:cs="Times New Roman"/>
          <w:b/>
          <w:bCs/>
          <w:sz w:val="24"/>
          <w:szCs w:val="24"/>
          <w:u w:val="single"/>
          <w:lang w:eastAsia="en-SG"/>
        </w:rPr>
        <w:t>our concept of a regulatory body, under the previous interpellations, was that it was going to be an independent body, independent from any department, independent from pressure from the Executive so that it could really fix the rational price for electricity</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w:t>
      </w:r>
      <w:proofErr w:type="spellStart"/>
      <w:r w:rsidRPr="005F5F47">
        <w:rPr>
          <w:rFonts w:ascii="Times New Roman" w:eastAsia="Times New Roman" w:hAnsi="Times New Roman" w:cs="Times New Roman"/>
          <w:sz w:val="24"/>
          <w:szCs w:val="24"/>
          <w:lang w:eastAsia="en-SG"/>
        </w:rPr>
        <w:t>Osmeña</w:t>
      </w:r>
      <w:proofErr w:type="spellEnd"/>
      <w:r w:rsidRPr="005F5F47">
        <w:rPr>
          <w:rFonts w:ascii="Times New Roman" w:eastAsia="Times New Roman" w:hAnsi="Times New Roman" w:cs="Times New Roman"/>
          <w:sz w:val="24"/>
          <w:szCs w:val="24"/>
          <w:lang w:eastAsia="en-SG"/>
        </w:rPr>
        <w:t xml:space="preserve"> (J). Mr. President, in the bill that we have approved on Second Reading on the energy regulatory body -- whatever we want to call it -- we have provided for as much independence as we could possibly provide. That bill has only been approved precisely on Second Reading so that we may revisit, if we may want to, whatever provisions therein we want now to discuss after having gone through this bill. Because what we have before us is the last bill that we expect to take up in this session</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48]</w:t>
      </w:r>
      <w:r w:rsidRPr="005F5F47">
        <w:rPr>
          <w:rFonts w:ascii="Times New Roman" w:eastAsia="Times New Roman" w:hAnsi="Times New Roman" w:cs="Times New Roman"/>
          <w:sz w:val="24"/>
          <w:szCs w:val="24"/>
          <w:lang w:eastAsia="en-SG"/>
        </w:rPr>
        <w:t xml:space="preserve"> (Emphasis and underscoring supplied)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In </w:t>
      </w:r>
      <w:r w:rsidRPr="005F5F47">
        <w:rPr>
          <w:rFonts w:ascii="Times New Roman" w:eastAsia="Times New Roman" w:hAnsi="Times New Roman" w:cs="Times New Roman"/>
          <w:i/>
          <w:iCs/>
          <w:sz w:val="24"/>
          <w:szCs w:val="24"/>
          <w:lang w:eastAsia="en-SG"/>
        </w:rPr>
        <w:t xml:space="preserve">Freedom From Debt Coalition v. </w:t>
      </w:r>
      <w:proofErr w:type="gramStart"/>
      <w:r w:rsidRPr="005F5F47">
        <w:rPr>
          <w:rFonts w:ascii="Times New Roman" w:eastAsia="Times New Roman" w:hAnsi="Times New Roman" w:cs="Times New Roman"/>
          <w:i/>
          <w:iCs/>
          <w:sz w:val="24"/>
          <w:szCs w:val="24"/>
          <w:lang w:eastAsia="en-SG"/>
        </w:rPr>
        <w:t>ERC</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49]</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Freedom From Debt Coalition</w:t>
      </w:r>
      <w:r w:rsidRPr="005F5F47">
        <w:rPr>
          <w:rFonts w:ascii="Times New Roman" w:eastAsia="Times New Roman" w:hAnsi="Times New Roman" w:cs="Times New Roman"/>
          <w:sz w:val="24"/>
          <w:szCs w:val="24"/>
          <w:lang w:eastAsia="en-SG"/>
        </w:rPr>
        <w:t xml:space="preserve">), the Court </w:t>
      </w:r>
      <w:r w:rsidRPr="005F5F47">
        <w:rPr>
          <w:rFonts w:ascii="Times New Roman" w:eastAsia="Times New Roman" w:hAnsi="Times New Roman" w:cs="Times New Roman"/>
          <w:b/>
          <w:bCs/>
          <w:sz w:val="24"/>
          <w:szCs w:val="24"/>
          <w:u w:val="single"/>
          <w:lang w:eastAsia="en-SG"/>
        </w:rPr>
        <w:t>already recognized</w:t>
      </w:r>
      <w:r w:rsidRPr="005F5F47">
        <w:rPr>
          <w:rFonts w:ascii="Times New Roman" w:eastAsia="Times New Roman" w:hAnsi="Times New Roman" w:cs="Times New Roman"/>
          <w:sz w:val="24"/>
          <w:szCs w:val="24"/>
          <w:lang w:eastAsia="en-SG"/>
        </w:rPr>
        <w:t xml:space="preserve"> that the independence of the ERC was part and parcel of the objectives of the EPIRA:</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Thus, the EPIRA provides a framework for the restructuring of the industry, including the privatization of the assets of the National Power Corporation (NPC), the transition to a competitive structure, and the delineation of the roles of various government agencies and the private entities. The law ordains the division of the industry into four (4) distinct sectors, namely: generation, transmission, distribution and supply. </w:t>
      </w:r>
      <w:proofErr w:type="spellStart"/>
      <w:r w:rsidRPr="005F5F47">
        <w:rPr>
          <w:rFonts w:ascii="Times New Roman" w:eastAsia="Times New Roman" w:hAnsi="Times New Roman" w:cs="Times New Roman"/>
          <w:sz w:val="24"/>
          <w:szCs w:val="24"/>
          <w:lang w:eastAsia="en-SG"/>
        </w:rPr>
        <w:t>Corollarily</w:t>
      </w:r>
      <w:proofErr w:type="spellEnd"/>
      <w:r w:rsidRPr="005F5F47">
        <w:rPr>
          <w:rFonts w:ascii="Times New Roman" w:eastAsia="Times New Roman" w:hAnsi="Times New Roman" w:cs="Times New Roman"/>
          <w:sz w:val="24"/>
          <w:szCs w:val="24"/>
          <w:lang w:eastAsia="en-SG"/>
        </w:rPr>
        <w:t xml:space="preserve">, the NPC generating plants have to </w:t>
      </w:r>
      <w:proofErr w:type="gramStart"/>
      <w:r w:rsidRPr="005F5F47">
        <w:rPr>
          <w:rFonts w:ascii="Times New Roman" w:eastAsia="Times New Roman" w:hAnsi="Times New Roman" w:cs="Times New Roman"/>
          <w:sz w:val="24"/>
          <w:szCs w:val="24"/>
          <w:lang w:eastAsia="en-SG"/>
        </w:rPr>
        <w:t>privatized</w:t>
      </w:r>
      <w:proofErr w:type="gramEnd"/>
      <w:r w:rsidRPr="005F5F47">
        <w:rPr>
          <w:rFonts w:ascii="Times New Roman" w:eastAsia="Times New Roman" w:hAnsi="Times New Roman" w:cs="Times New Roman"/>
          <w:sz w:val="24"/>
          <w:szCs w:val="24"/>
          <w:lang w:eastAsia="en-SG"/>
        </w:rPr>
        <w:t xml:space="preserve"> and its transmission business spun off and privatized thereafter.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u w:val="single"/>
          <w:lang w:eastAsia="en-SG"/>
        </w:rPr>
        <w:t xml:space="preserve">In tandem with the restructuring of the industry is the establishment of "a strong and purely independent regulatory body." Thus, the law created the ERC </w:t>
      </w:r>
      <w:r w:rsidRPr="005F5F47">
        <w:rPr>
          <w:rFonts w:ascii="Times New Roman" w:eastAsia="Times New Roman" w:hAnsi="Times New Roman" w:cs="Times New Roman"/>
          <w:b/>
          <w:bCs/>
          <w:i/>
          <w:iCs/>
          <w:sz w:val="24"/>
          <w:szCs w:val="24"/>
          <w:u w:val="single"/>
          <w:lang w:eastAsia="en-SG"/>
        </w:rPr>
        <w:t>in place of</w:t>
      </w:r>
      <w:r w:rsidRPr="005F5F47">
        <w:rPr>
          <w:rFonts w:ascii="Times New Roman" w:eastAsia="Times New Roman" w:hAnsi="Times New Roman" w:cs="Times New Roman"/>
          <w:b/>
          <w:bCs/>
          <w:sz w:val="24"/>
          <w:szCs w:val="24"/>
          <w:u w:val="single"/>
          <w:lang w:eastAsia="en-SG"/>
        </w:rPr>
        <w:t xml:space="preserve"> the Energy Regulatory Board (ERB)</w:t>
      </w:r>
      <w:proofErr w:type="gramStart"/>
      <w:r w:rsidRPr="005F5F47">
        <w:rPr>
          <w:rFonts w:ascii="Times New Roman" w:eastAsia="Times New Roman" w:hAnsi="Times New Roman" w:cs="Times New Roman"/>
          <w:b/>
          <w:bCs/>
          <w:sz w:val="24"/>
          <w:szCs w:val="24"/>
          <w:u w:val="single"/>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50]</w:t>
      </w:r>
      <w:r w:rsidRPr="005F5F47">
        <w:rPr>
          <w:rFonts w:ascii="Times New Roman" w:eastAsia="Times New Roman" w:hAnsi="Times New Roman" w:cs="Times New Roman"/>
          <w:sz w:val="24"/>
          <w:szCs w:val="24"/>
          <w:lang w:eastAsia="en-SG"/>
        </w:rPr>
        <w:t xml:space="preserve"> (Emphasis, italics and underscoring supplied)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 xml:space="preserve">The intent to </w:t>
      </w:r>
      <w:r w:rsidRPr="005F5F47">
        <w:rPr>
          <w:rFonts w:ascii="Times New Roman" w:eastAsia="Times New Roman" w:hAnsi="Times New Roman" w:cs="Times New Roman"/>
          <w:b/>
          <w:bCs/>
          <w:i/>
          <w:iCs/>
          <w:sz w:val="24"/>
          <w:szCs w:val="24"/>
          <w:u w:val="single"/>
          <w:lang w:eastAsia="en-SG"/>
        </w:rPr>
        <w:t>separate</w:t>
      </w:r>
      <w:r w:rsidRPr="005F5F47">
        <w:rPr>
          <w:rFonts w:ascii="Times New Roman" w:eastAsia="Times New Roman" w:hAnsi="Times New Roman" w:cs="Times New Roman"/>
          <w:b/>
          <w:bCs/>
          <w:sz w:val="24"/>
          <w:szCs w:val="24"/>
          <w:lang w:eastAsia="en-SG"/>
        </w:rPr>
        <w:t xml:space="preserve"> the regulatory body from the DOE is further revealed from an analysis of both the letter of the law and the deliberations of the lawmakers.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Under the EPIRA, the ERC is empowered to perform the following functions:</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SECTION 43. </w:t>
      </w:r>
      <w:r w:rsidRPr="005F5F47">
        <w:rPr>
          <w:rFonts w:ascii="Times New Roman" w:eastAsia="Times New Roman" w:hAnsi="Times New Roman" w:cs="Times New Roman"/>
          <w:i/>
          <w:iCs/>
          <w:sz w:val="24"/>
          <w:szCs w:val="24"/>
          <w:lang w:eastAsia="en-SG"/>
        </w:rPr>
        <w:t>Functions of the ERC</w:t>
      </w:r>
      <w:r w:rsidRPr="005F5F47">
        <w:rPr>
          <w:rFonts w:ascii="Times New Roman" w:eastAsia="Times New Roman" w:hAnsi="Times New Roman" w:cs="Times New Roman"/>
          <w:sz w:val="24"/>
          <w:szCs w:val="24"/>
          <w:lang w:eastAsia="en-SG"/>
        </w:rPr>
        <w:t>. — The ERC shall promote competition, encourage market development, ensure customer choice and penalize abuse of market power in the restructured electricity industry. In appropriate cases, the ERC is authorized to issue cease and desist order after due notice and hearing. Towards this end, it shall be responsible for the following key functions in the restructured industry</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(a) Enforce the implementing rules and regulations of this Act;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(b) Within six (6) months from the effectivity of this Act, promulgate and enforce, in </w:t>
      </w:r>
      <w:r w:rsidRPr="005F5F47">
        <w:rPr>
          <w:rFonts w:ascii="Times New Roman" w:eastAsia="Times New Roman" w:hAnsi="Times New Roman" w:cs="Times New Roman"/>
          <w:sz w:val="24"/>
          <w:szCs w:val="24"/>
          <w:lang w:eastAsia="en-SG"/>
        </w:rPr>
        <w:lastRenderedPageBreak/>
        <w:t>accordance with law, a National Grid Code and a Distribution Code which shall include, but not limited to, the following:</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w:t>
      </w:r>
      <w:proofErr w:type="spellStart"/>
      <w:r w:rsidRPr="005F5F47">
        <w:rPr>
          <w:rFonts w:ascii="Times New Roman" w:eastAsia="Times New Roman" w:hAnsi="Times New Roman" w:cs="Times New Roman"/>
          <w:sz w:val="24"/>
          <w:szCs w:val="24"/>
          <w:lang w:eastAsia="en-SG"/>
        </w:rPr>
        <w:t>i</w:t>
      </w:r>
      <w:proofErr w:type="spellEnd"/>
      <w:r w:rsidRPr="005F5F47">
        <w:rPr>
          <w:rFonts w:ascii="Times New Roman" w:eastAsia="Times New Roman" w:hAnsi="Times New Roman" w:cs="Times New Roman"/>
          <w:sz w:val="24"/>
          <w:szCs w:val="24"/>
          <w:lang w:eastAsia="en-SG"/>
        </w:rPr>
        <w:t xml:space="preserve">) Performance standards for TRANSCO O &amp; M Concessionaire, distribution utilities and suppliers: </w:t>
      </w:r>
      <w:r w:rsidRPr="005F5F47">
        <w:rPr>
          <w:rFonts w:ascii="Times New Roman" w:eastAsia="Times New Roman" w:hAnsi="Times New Roman" w:cs="Times New Roman"/>
          <w:i/>
          <w:iCs/>
          <w:sz w:val="24"/>
          <w:szCs w:val="24"/>
          <w:lang w:eastAsia="en-SG"/>
        </w:rPr>
        <w:t>Provided</w:t>
      </w:r>
      <w:r w:rsidRPr="005F5F47">
        <w:rPr>
          <w:rFonts w:ascii="Times New Roman" w:eastAsia="Times New Roman" w:hAnsi="Times New Roman" w:cs="Times New Roman"/>
          <w:sz w:val="24"/>
          <w:szCs w:val="24"/>
          <w:lang w:eastAsia="en-SG"/>
        </w:rPr>
        <w:t>, That in the establishment of the performance standards, the nature and function of the entities shall be considered; and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(ii) Financial capability standards for the generating companies, the TRANSCO, distribution utilities and suppliers: </w:t>
      </w:r>
      <w:r w:rsidRPr="005F5F47">
        <w:rPr>
          <w:rFonts w:ascii="Times New Roman" w:eastAsia="Times New Roman" w:hAnsi="Times New Roman" w:cs="Times New Roman"/>
          <w:i/>
          <w:iCs/>
          <w:sz w:val="24"/>
          <w:szCs w:val="24"/>
          <w:lang w:eastAsia="en-SG"/>
        </w:rPr>
        <w:t>Provided</w:t>
      </w:r>
      <w:r w:rsidRPr="005F5F47">
        <w:rPr>
          <w:rFonts w:ascii="Times New Roman" w:eastAsia="Times New Roman" w:hAnsi="Times New Roman" w:cs="Times New Roman"/>
          <w:sz w:val="24"/>
          <w:szCs w:val="24"/>
          <w:lang w:eastAsia="en-SG"/>
        </w:rPr>
        <w:t xml:space="preserve">, That in the formulation of the financial capability standards, the nature and function of the entity shall be considered: </w:t>
      </w:r>
      <w:r w:rsidRPr="005F5F47">
        <w:rPr>
          <w:rFonts w:ascii="Times New Roman" w:eastAsia="Times New Roman" w:hAnsi="Times New Roman" w:cs="Times New Roman"/>
          <w:i/>
          <w:iCs/>
          <w:sz w:val="24"/>
          <w:szCs w:val="24"/>
          <w:lang w:eastAsia="en-SG"/>
        </w:rPr>
        <w:t>Provided, further</w:t>
      </w:r>
      <w:r w:rsidRPr="005F5F47">
        <w:rPr>
          <w:rFonts w:ascii="Times New Roman" w:eastAsia="Times New Roman" w:hAnsi="Times New Roman" w:cs="Times New Roman"/>
          <w:sz w:val="24"/>
          <w:szCs w:val="24"/>
          <w:lang w:eastAsia="en-SG"/>
        </w:rPr>
        <w:t>, That such standards are set to ensure that the electric power industry participants meet the minimum financial standards to protect the public interest. Determine, fix, and approve, after due notice and public hearings the universal charge, to be imposed on all electricity end-users pursuant to Section 34 hereof;</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(c) Enforce the rules and regulations governing the operations of the electricity spot market and the activities of the spot market operator and other participants in the spot market, for the purpose of ensuring a greater supply and rational pricing of electricity;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(d) Determine the level of cross subsidies in the existing retail rate until the same is removed pursuant to Section 74 hereof;</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(e) Amend or revoke, after due notice and hearing, the authority to operate of any person or entity which fails to comply with the provisions hereof, the IRR or any order or resolution of the ERC. In the event a divestment is required, the ERC shall allow the affected party sufficient time to remedy the infraction or for an orderly disposal, but shall in no case exceed twelve (12) months from the issuance of the order;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(f) </w:t>
      </w:r>
      <w:r w:rsidRPr="005F5F47">
        <w:rPr>
          <w:rFonts w:ascii="Times New Roman" w:eastAsia="Times New Roman" w:hAnsi="Times New Roman" w:cs="Times New Roman"/>
          <w:b/>
          <w:bCs/>
          <w:sz w:val="24"/>
          <w:szCs w:val="24"/>
          <w:u w:val="single"/>
          <w:lang w:eastAsia="en-SG"/>
        </w:rPr>
        <w:t>In the public interest, establish and enforce a methodology for setting transmission and distribution wheeling rates and retail rates for the captive market of a distribution utility, taking into account all relevant considerations, including the efficiency or inefficiency of the regulated entities.</w:t>
      </w:r>
      <w:r w:rsidRPr="005F5F47">
        <w:rPr>
          <w:rFonts w:ascii="Times New Roman" w:eastAsia="Times New Roman" w:hAnsi="Times New Roman" w:cs="Times New Roman"/>
          <w:sz w:val="24"/>
          <w:szCs w:val="24"/>
          <w:lang w:eastAsia="en-SG"/>
        </w:rPr>
        <w:t xml:space="preserve"> The rates must be such as to allow the recovery of just and reasonable costs and a reasonable return on rate base (RORB) to enable the entity to operate viably. The ERC may adopt alternative forms of internationally-accepted rate-setting methodology as it may deem appropriate. The rate-setting methodology so adopted and applied must ensure a reasonable price of electricity. The rates prescribed shall be non-discriminatory. To achieve this objective and to ensure the complete removal of cross subsidies, the cap on the recoverable rate of system losses prescribed in Section 10 of Republic Act No. 7832, is hereby amended and shall be replaced by caps which shall be determined by the ERC based on load density, sales mix, cost of service, delivery voltage and other technical considerations it may promulgate. The ERC shall determine such form of rate-setting methodology, which shall promote efficiency. In case the rate setting methodology used is RORB, it shall be subject to the following guidelines: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w:t>
      </w:r>
      <w:proofErr w:type="spellStart"/>
      <w:r w:rsidRPr="005F5F47">
        <w:rPr>
          <w:rFonts w:ascii="Times New Roman" w:eastAsia="Times New Roman" w:hAnsi="Times New Roman" w:cs="Times New Roman"/>
          <w:sz w:val="24"/>
          <w:szCs w:val="24"/>
          <w:lang w:eastAsia="en-SG"/>
        </w:rPr>
        <w:t>i</w:t>
      </w:r>
      <w:proofErr w:type="spellEnd"/>
      <w:r w:rsidRPr="005F5F47">
        <w:rPr>
          <w:rFonts w:ascii="Times New Roman" w:eastAsia="Times New Roman" w:hAnsi="Times New Roman" w:cs="Times New Roman"/>
          <w:sz w:val="24"/>
          <w:szCs w:val="24"/>
          <w:lang w:eastAsia="en-SG"/>
        </w:rPr>
        <w:t xml:space="preserve">) For purposes of determining the rate base, the TRANS CO or any distribution utility may be allowed to revalue its eligible assets not more than once every three (3) years by an independent appraisal company: </w:t>
      </w:r>
      <w:r w:rsidRPr="005F5F47">
        <w:rPr>
          <w:rFonts w:ascii="Times New Roman" w:eastAsia="Times New Roman" w:hAnsi="Times New Roman" w:cs="Times New Roman"/>
          <w:i/>
          <w:iCs/>
          <w:sz w:val="24"/>
          <w:szCs w:val="24"/>
          <w:lang w:eastAsia="en-SG"/>
        </w:rPr>
        <w:t>Provided, however</w:t>
      </w:r>
      <w:r w:rsidRPr="005F5F47">
        <w:rPr>
          <w:rFonts w:ascii="Times New Roman" w:eastAsia="Times New Roman" w:hAnsi="Times New Roman" w:cs="Times New Roman"/>
          <w:sz w:val="24"/>
          <w:szCs w:val="24"/>
          <w:lang w:eastAsia="en-SG"/>
        </w:rPr>
        <w:t xml:space="preserve">, That ERC may give an exemption in case of unusual devaluation: </w:t>
      </w:r>
      <w:r w:rsidRPr="005F5F47">
        <w:rPr>
          <w:rFonts w:ascii="Times New Roman" w:eastAsia="Times New Roman" w:hAnsi="Times New Roman" w:cs="Times New Roman"/>
          <w:i/>
          <w:iCs/>
          <w:sz w:val="24"/>
          <w:szCs w:val="24"/>
          <w:lang w:eastAsia="en-SG"/>
        </w:rPr>
        <w:t>Provided, further</w:t>
      </w:r>
      <w:r w:rsidRPr="005F5F47">
        <w:rPr>
          <w:rFonts w:ascii="Times New Roman" w:eastAsia="Times New Roman" w:hAnsi="Times New Roman" w:cs="Times New Roman"/>
          <w:sz w:val="24"/>
          <w:szCs w:val="24"/>
          <w:lang w:eastAsia="en-SG"/>
        </w:rPr>
        <w:t>, That the ERC shall exert efforts to minimize price shocks in order to protect the consumers;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(ii) Interest expenses are not allowable deductions from permissible return on rate base;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(iii) In determining eligible cost of services that will be passed on to the end-users, the ERC </w:t>
      </w:r>
      <w:r w:rsidRPr="005F5F47">
        <w:rPr>
          <w:rFonts w:ascii="Times New Roman" w:eastAsia="Times New Roman" w:hAnsi="Times New Roman" w:cs="Times New Roman"/>
          <w:sz w:val="24"/>
          <w:szCs w:val="24"/>
          <w:lang w:eastAsia="en-SG"/>
        </w:rPr>
        <w:lastRenderedPageBreak/>
        <w:t>shall establish minimum efficiency performance standards for the TRANSCO and distribution utilities including systems losses, interruption frequency rates, and collection efficiency;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(iv) Further, in determining rate base, the TRANSCO or any distribution utility shall not be allowed to include management inefficiencies like cost of project delays not excused by </w:t>
      </w:r>
      <w:r w:rsidRPr="005F5F47">
        <w:rPr>
          <w:rFonts w:ascii="Times New Roman" w:eastAsia="Times New Roman" w:hAnsi="Times New Roman" w:cs="Times New Roman"/>
          <w:i/>
          <w:iCs/>
          <w:sz w:val="24"/>
          <w:szCs w:val="24"/>
          <w:lang w:eastAsia="en-SG"/>
        </w:rPr>
        <w:t>force majeure</w:t>
      </w:r>
      <w:r w:rsidRPr="005F5F47">
        <w:rPr>
          <w:rFonts w:ascii="Times New Roman" w:eastAsia="Times New Roman" w:hAnsi="Times New Roman" w:cs="Times New Roman"/>
          <w:sz w:val="24"/>
          <w:szCs w:val="24"/>
          <w:lang w:eastAsia="en-SG"/>
        </w:rPr>
        <w:t>, penalties and related interest during construction applicable to these unexcused delays; and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(v) Any significant operating costs or project investments of the TRANSCO and distribution utilities which shall become part of the rate base shall be subject to verification by the ERC to ensure that the contracting and procurement of the equipment, assets and services have been subjected to transparent and accepted industry procurement and purchasing practices to protect the public interest.</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(g) Three (3) years after the imposition of the universal charge, ensure that the charges of the TRANSCO or any distribution utility shall bear no cross subsidies between grids, within grids, or between classes of customers, except as provided herein;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(h) Review and approve any changes on the terms and conditions of service of the TRANSCO or any distribution utility;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w:t>
      </w:r>
      <w:proofErr w:type="spellStart"/>
      <w:r w:rsidRPr="005F5F47">
        <w:rPr>
          <w:rFonts w:ascii="Times New Roman" w:eastAsia="Times New Roman" w:hAnsi="Times New Roman" w:cs="Times New Roman"/>
          <w:sz w:val="24"/>
          <w:szCs w:val="24"/>
          <w:lang w:eastAsia="en-SG"/>
        </w:rPr>
        <w:t>i</w:t>
      </w:r>
      <w:proofErr w:type="spellEnd"/>
      <w:r w:rsidRPr="005F5F47">
        <w:rPr>
          <w:rFonts w:ascii="Times New Roman" w:eastAsia="Times New Roman" w:hAnsi="Times New Roman" w:cs="Times New Roman"/>
          <w:sz w:val="24"/>
          <w:szCs w:val="24"/>
          <w:lang w:eastAsia="en-SG"/>
        </w:rPr>
        <w:t>) Allow the TRANSCO to charge user fees for ancillary services to all electric power industry participants or self-generating entities connected to the grid. Such fees shall be fixed by the ERC after due notice and public hearing;</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(j) Set a lifeline rate for the marginalized end-users;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(k) Monitor and take measures in accordance with this Act to penalize abuse of market power, cartelization, and anti-competitive or discriminatory </w:t>
      </w:r>
      <w:proofErr w:type="spellStart"/>
      <w:r w:rsidRPr="005F5F47">
        <w:rPr>
          <w:rFonts w:ascii="Times New Roman" w:eastAsia="Times New Roman" w:hAnsi="Times New Roman" w:cs="Times New Roman"/>
          <w:sz w:val="24"/>
          <w:szCs w:val="24"/>
          <w:lang w:eastAsia="en-SG"/>
        </w:rPr>
        <w:t>behavior</w:t>
      </w:r>
      <w:proofErr w:type="spellEnd"/>
      <w:r w:rsidRPr="005F5F47">
        <w:rPr>
          <w:rFonts w:ascii="Times New Roman" w:eastAsia="Times New Roman" w:hAnsi="Times New Roman" w:cs="Times New Roman"/>
          <w:sz w:val="24"/>
          <w:szCs w:val="24"/>
          <w:lang w:eastAsia="en-SG"/>
        </w:rPr>
        <w:t xml:space="preserve"> by any electric power industry participant;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(l) Impose fines or penalties for any non-compliance with or breach of this Act, the IRR of this Act and the rules and regulations which it promulgates or administers;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(m) </w:t>
      </w:r>
      <w:r w:rsidRPr="005F5F47">
        <w:rPr>
          <w:rFonts w:ascii="Times New Roman" w:eastAsia="Times New Roman" w:hAnsi="Times New Roman" w:cs="Times New Roman"/>
          <w:b/>
          <w:bCs/>
          <w:sz w:val="24"/>
          <w:szCs w:val="24"/>
          <w:u w:val="single"/>
          <w:lang w:eastAsia="en-SG"/>
        </w:rPr>
        <w:t>Take any other action delegated to it pursuant to this Act;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(n) Before the end of April of each year, submit to the Office of the President of the Philippines and Congress, copy furnished the DOE, an annual report containing such matters or cases which have been filed before or referred to it during the preceding year, the actions and proceedings undertaken and its decision or resolution in each case. The ERC shall make copies of such reports available to any interested party upon payment of a charge which reflects the printing costs. The ERC shall publish all its decisions involving rates and anti-competitive cases in at least one (1) newspaper of general circulation, and/or post electronically and circulate to all interested electric power industry participants copies of its resolutions to ensure fair and impartial treatment;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(o) </w:t>
      </w:r>
      <w:r w:rsidRPr="005F5F47">
        <w:rPr>
          <w:rFonts w:ascii="Times New Roman" w:eastAsia="Times New Roman" w:hAnsi="Times New Roman" w:cs="Times New Roman"/>
          <w:b/>
          <w:bCs/>
          <w:sz w:val="24"/>
          <w:szCs w:val="24"/>
          <w:u w:val="single"/>
          <w:lang w:eastAsia="en-SG"/>
        </w:rPr>
        <w:t>Monitor the activities in the generation and supply of the electric power industry with the end in view of promoting free market competition</w:t>
      </w:r>
      <w:r w:rsidRPr="005F5F47">
        <w:rPr>
          <w:rFonts w:ascii="Times New Roman" w:eastAsia="Times New Roman" w:hAnsi="Times New Roman" w:cs="Times New Roman"/>
          <w:sz w:val="24"/>
          <w:szCs w:val="24"/>
          <w:lang w:eastAsia="en-SG"/>
        </w:rPr>
        <w:t xml:space="preserve"> and ensuring that the allocation or pass through of bulk purchase cost by distributors is transparent, non-discriminatory and that any existing subsidies shall be divided pro-rata among all retail </w:t>
      </w:r>
      <w:r w:rsidRPr="005F5F47">
        <w:rPr>
          <w:rFonts w:ascii="Times New Roman" w:eastAsia="Times New Roman" w:hAnsi="Times New Roman" w:cs="Times New Roman"/>
          <w:sz w:val="24"/>
          <w:szCs w:val="24"/>
          <w:lang w:eastAsia="en-SG"/>
        </w:rPr>
        <w:lastRenderedPageBreak/>
        <w:t>suppliers;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(p) </w:t>
      </w:r>
      <w:r w:rsidRPr="005F5F47">
        <w:rPr>
          <w:rFonts w:ascii="Times New Roman" w:eastAsia="Times New Roman" w:hAnsi="Times New Roman" w:cs="Times New Roman"/>
          <w:b/>
          <w:bCs/>
          <w:sz w:val="24"/>
          <w:szCs w:val="24"/>
          <w:u w:val="single"/>
          <w:lang w:eastAsia="en-SG"/>
        </w:rPr>
        <w:t>Act on applications for or modifications of certificates of public convenience and/or necessity, licenses or permits of franchised electric utilities in accordance with law and revoke, review and modify such certificates, licenses or permits in appropriate cases</w:t>
      </w:r>
      <w:r w:rsidRPr="005F5F47">
        <w:rPr>
          <w:rFonts w:ascii="Times New Roman" w:eastAsia="Times New Roman" w:hAnsi="Times New Roman" w:cs="Times New Roman"/>
          <w:sz w:val="24"/>
          <w:szCs w:val="24"/>
          <w:lang w:eastAsia="en-SG"/>
        </w:rPr>
        <w:t>, such as in cases of violations of the Grid Code, Distribution Code and other rules and regulations issued by the ERC in accordance with law;</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(q) Act on applications for cost recovery and return on demand side management projects;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(r) In the exercise of its investigative and quasi-judicial powers, act against any participant or player in the energy sector for violations of any law, rule and regulation governing the same, including the rules on cross-ownership, anti-competitive practices, abuse of market positions and similar or related acts by any participant in the energy sector or by any person, as may be provided by law, and require any person or entity to submit any report or data relative to any investigation or hearing conducted pursuant to this Act;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 Inspect, on its own or through duly authorized representatives, the premises, books of accounts and records of any person or entity at any time, in the exercise of its quasi-judicial power for purposes of determining the existence of any anti-competitive </w:t>
      </w:r>
      <w:proofErr w:type="spellStart"/>
      <w:r w:rsidRPr="005F5F47">
        <w:rPr>
          <w:rFonts w:ascii="Times New Roman" w:eastAsia="Times New Roman" w:hAnsi="Times New Roman" w:cs="Times New Roman"/>
          <w:sz w:val="24"/>
          <w:szCs w:val="24"/>
          <w:lang w:eastAsia="en-SG"/>
        </w:rPr>
        <w:t>behavior</w:t>
      </w:r>
      <w:proofErr w:type="spellEnd"/>
      <w:r w:rsidRPr="005F5F47">
        <w:rPr>
          <w:rFonts w:ascii="Times New Roman" w:eastAsia="Times New Roman" w:hAnsi="Times New Roman" w:cs="Times New Roman"/>
          <w:sz w:val="24"/>
          <w:szCs w:val="24"/>
          <w:lang w:eastAsia="en-SG"/>
        </w:rPr>
        <w:t xml:space="preserve"> and/or market power abuse and any violation of rules and regulations issued by the ERC;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 Perform such other regulatory functions as are appropriate and necessary in order to ensure the successful restructuring and modernization of the electric power industry, such as, but not limited to, the rules and guidelines under which generation companies, distribution utilities which are not publicly listed shall offer and sell to the public a portion not less than fifteen percent (15%) of their common </w:t>
      </w:r>
      <w:proofErr w:type="spellStart"/>
      <w:r w:rsidRPr="005F5F47">
        <w:rPr>
          <w:rFonts w:ascii="Times New Roman" w:eastAsia="Times New Roman" w:hAnsi="Times New Roman" w:cs="Times New Roman"/>
          <w:sz w:val="24"/>
          <w:szCs w:val="24"/>
          <w:lang w:eastAsia="en-SG"/>
        </w:rPr>
        <w:t>snares</w:t>
      </w:r>
      <w:proofErr w:type="spellEnd"/>
      <w:r w:rsidRPr="005F5F47">
        <w:rPr>
          <w:rFonts w:ascii="Times New Roman" w:eastAsia="Times New Roman" w:hAnsi="Times New Roman" w:cs="Times New Roman"/>
          <w:sz w:val="24"/>
          <w:szCs w:val="24"/>
          <w:lang w:eastAsia="en-SG"/>
        </w:rPr>
        <w:t xml:space="preserve"> of stocks: </w:t>
      </w:r>
      <w:r w:rsidRPr="005F5F47">
        <w:rPr>
          <w:rFonts w:ascii="Times New Roman" w:eastAsia="Times New Roman" w:hAnsi="Times New Roman" w:cs="Times New Roman"/>
          <w:i/>
          <w:iCs/>
          <w:sz w:val="24"/>
          <w:szCs w:val="24"/>
          <w:lang w:eastAsia="en-SG"/>
        </w:rPr>
        <w:t>Provided, however</w:t>
      </w:r>
      <w:r w:rsidRPr="005F5F47">
        <w:rPr>
          <w:rFonts w:ascii="Times New Roman" w:eastAsia="Times New Roman" w:hAnsi="Times New Roman" w:cs="Times New Roman"/>
          <w:sz w:val="24"/>
          <w:szCs w:val="24"/>
          <w:lang w:eastAsia="en-SG"/>
        </w:rPr>
        <w:t xml:space="preserve">, That generation companies, distribution utilities or their respective holding companies that are already listed in the PSE are deemed in compliance. For existing companies, such public offering shall be implemented not later than five (5) years from the effectivity of this Act. New companies shall implement their respective public offerings not later than five (5) years from the issuance of their certificate of compliance; </w:t>
      </w:r>
      <w:proofErr w:type="gramStart"/>
      <w:r w:rsidRPr="005F5F47">
        <w:rPr>
          <w:rFonts w:ascii="Times New Roman" w:eastAsia="Times New Roman" w:hAnsi="Times New Roman" w:cs="Times New Roman"/>
          <w:sz w:val="24"/>
          <w:szCs w:val="24"/>
          <w:lang w:eastAsia="en-SG"/>
        </w:rPr>
        <w:t>and</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(u) The ERC shall have the original and exclusive jurisdiction over all cases contesting rates, fees, fines and penalties imposed by the ERC in the exercise of the abovementioned powers, functions and responsibilities and over all cases involving disputes between and among participants or players in the energy sector. (Emphasis and underscoring supplied)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From the foregoing functions, it is unequivocally clear that the EPIRA intended the ERC to be the </w:t>
      </w:r>
      <w:r w:rsidRPr="005F5F47">
        <w:rPr>
          <w:rFonts w:ascii="Times New Roman" w:eastAsia="Times New Roman" w:hAnsi="Times New Roman" w:cs="Times New Roman"/>
          <w:b/>
          <w:bCs/>
          <w:sz w:val="24"/>
          <w:szCs w:val="24"/>
          <w:u w:val="single"/>
          <w:lang w:eastAsia="en-SG"/>
        </w:rPr>
        <w:t>body in charge of regulating the participants in the energy sector, particularly the DUs</w:t>
      </w:r>
      <w:r w:rsidRPr="005F5F47">
        <w:rPr>
          <w:rFonts w:ascii="Times New Roman" w:eastAsia="Times New Roman" w:hAnsi="Times New Roman" w:cs="Times New Roman"/>
          <w:sz w:val="24"/>
          <w:szCs w:val="24"/>
          <w:lang w:eastAsia="en-SG"/>
        </w:rPr>
        <w:t xml:space="preserve">. In contrast to this regulatory role of the ERC, the functions of the </w:t>
      </w:r>
      <w:proofErr w:type="gramStart"/>
      <w:r w:rsidRPr="005F5F47">
        <w:rPr>
          <w:rFonts w:ascii="Times New Roman" w:eastAsia="Times New Roman" w:hAnsi="Times New Roman" w:cs="Times New Roman"/>
          <w:sz w:val="24"/>
          <w:szCs w:val="24"/>
          <w:lang w:eastAsia="en-SG"/>
        </w:rPr>
        <w:t>DOE</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51]</w:t>
      </w:r>
      <w:r w:rsidRPr="005F5F47">
        <w:rPr>
          <w:rFonts w:ascii="Times New Roman" w:eastAsia="Times New Roman" w:hAnsi="Times New Roman" w:cs="Times New Roman"/>
          <w:sz w:val="24"/>
          <w:szCs w:val="24"/>
          <w:lang w:eastAsia="en-SG"/>
        </w:rPr>
        <w:t xml:space="preserve"> are mainly on policy-making and direction-setting. That the ERC is the regulator, on the one hand, and that the DOE is the policy-maker, on the other, is evident from the following exchange between Senators John </w:t>
      </w:r>
      <w:proofErr w:type="spellStart"/>
      <w:r w:rsidRPr="005F5F47">
        <w:rPr>
          <w:rFonts w:ascii="Times New Roman" w:eastAsia="Times New Roman" w:hAnsi="Times New Roman" w:cs="Times New Roman"/>
          <w:sz w:val="24"/>
          <w:szCs w:val="24"/>
          <w:lang w:eastAsia="en-SG"/>
        </w:rPr>
        <w:t>Osmeña</w:t>
      </w:r>
      <w:proofErr w:type="spellEnd"/>
      <w:r w:rsidRPr="005F5F47">
        <w:rPr>
          <w:rFonts w:ascii="Times New Roman" w:eastAsia="Times New Roman" w:hAnsi="Times New Roman" w:cs="Times New Roman"/>
          <w:sz w:val="24"/>
          <w:szCs w:val="24"/>
          <w:lang w:eastAsia="en-SG"/>
        </w:rPr>
        <w:t xml:space="preserve"> and Juan Ponce </w:t>
      </w:r>
      <w:proofErr w:type="spellStart"/>
      <w:r w:rsidRPr="005F5F47">
        <w:rPr>
          <w:rFonts w:ascii="Times New Roman" w:eastAsia="Times New Roman" w:hAnsi="Times New Roman" w:cs="Times New Roman"/>
          <w:sz w:val="24"/>
          <w:szCs w:val="24"/>
          <w:lang w:eastAsia="en-SG"/>
        </w:rPr>
        <w:t>Enrile</w:t>
      </w:r>
      <w:proofErr w:type="spellEnd"/>
      <w:r w:rsidRPr="005F5F47">
        <w:rPr>
          <w:rFonts w:ascii="Times New Roman" w:eastAsia="Times New Roman" w:hAnsi="Times New Roman" w:cs="Times New Roman"/>
          <w:sz w:val="24"/>
          <w:szCs w:val="24"/>
          <w:lang w:eastAsia="en-SG"/>
        </w:rPr>
        <w:t>:</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The President. Senator </w:t>
      </w:r>
      <w:proofErr w:type="spellStart"/>
      <w:r w:rsidRPr="005F5F47">
        <w:rPr>
          <w:rFonts w:ascii="Times New Roman" w:eastAsia="Times New Roman" w:hAnsi="Times New Roman" w:cs="Times New Roman"/>
          <w:sz w:val="24"/>
          <w:szCs w:val="24"/>
          <w:lang w:eastAsia="en-SG"/>
        </w:rPr>
        <w:t>Enrile</w:t>
      </w:r>
      <w:proofErr w:type="spellEnd"/>
      <w:r w:rsidRPr="005F5F47">
        <w:rPr>
          <w:rFonts w:ascii="Times New Roman" w:eastAsia="Times New Roman" w:hAnsi="Times New Roman" w:cs="Times New Roman"/>
          <w:sz w:val="24"/>
          <w:szCs w:val="24"/>
          <w:lang w:eastAsia="en-SG"/>
        </w:rPr>
        <w:t xml:space="preserve"> is recognized.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w:t>
      </w:r>
      <w:proofErr w:type="spellStart"/>
      <w:r w:rsidRPr="005F5F47">
        <w:rPr>
          <w:rFonts w:ascii="Times New Roman" w:eastAsia="Times New Roman" w:hAnsi="Times New Roman" w:cs="Times New Roman"/>
          <w:sz w:val="24"/>
          <w:szCs w:val="24"/>
          <w:lang w:eastAsia="en-SG"/>
        </w:rPr>
        <w:t>Enrile</w:t>
      </w:r>
      <w:proofErr w:type="spellEnd"/>
      <w:r w:rsidRPr="005F5F47">
        <w:rPr>
          <w:rFonts w:ascii="Times New Roman" w:eastAsia="Times New Roman" w:hAnsi="Times New Roman" w:cs="Times New Roman"/>
          <w:sz w:val="24"/>
          <w:szCs w:val="24"/>
          <w:lang w:eastAsia="en-SG"/>
        </w:rPr>
        <w:t>. May I go back to page 3, line 19, DISTRIBUTION CODE.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"DISTRIBUTION CODE" after the word "CODE" and before the article "a", insert AS PROMULGATED BY THE DEPARTMENT OF ENERGY AND ENFORCED AND IMPLEMENTED BY THE ENERGY REGULATORY AUTHORITY.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lastRenderedPageBreak/>
        <w:br/>
        <w:t xml:space="preserve">Senator </w:t>
      </w:r>
      <w:proofErr w:type="spellStart"/>
      <w:r w:rsidRPr="005F5F47">
        <w:rPr>
          <w:rFonts w:ascii="Times New Roman" w:eastAsia="Times New Roman" w:hAnsi="Times New Roman" w:cs="Times New Roman"/>
          <w:sz w:val="24"/>
          <w:szCs w:val="24"/>
          <w:lang w:eastAsia="en-SG"/>
        </w:rPr>
        <w:t>Osmeña</w:t>
      </w:r>
      <w:proofErr w:type="spellEnd"/>
      <w:r w:rsidRPr="005F5F47">
        <w:rPr>
          <w:rFonts w:ascii="Times New Roman" w:eastAsia="Times New Roman" w:hAnsi="Times New Roman" w:cs="Times New Roman"/>
          <w:sz w:val="24"/>
          <w:szCs w:val="24"/>
          <w:lang w:eastAsia="en-SG"/>
        </w:rPr>
        <w:t xml:space="preserve"> (J). Mr. President, in TRANSCO and again in the bill on the Energy Regulatory Board -- in fact, this came out in our debates -- we pointed out the historical situation that the predecessor of the Energy Regulatory Board was the Philippine Public Service Commission created by a Commonwealth Act and it was always the agency that promulgated this. Therefore, we are pursuing that historical situation with respect to the promulgation of the distribution and the grid code, Mr. President.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w:t>
      </w:r>
      <w:proofErr w:type="spellStart"/>
      <w:r w:rsidRPr="005F5F47">
        <w:rPr>
          <w:rFonts w:ascii="Times New Roman" w:eastAsia="Times New Roman" w:hAnsi="Times New Roman" w:cs="Times New Roman"/>
          <w:sz w:val="24"/>
          <w:szCs w:val="24"/>
          <w:lang w:eastAsia="en-SG"/>
        </w:rPr>
        <w:t>Enrile</w:t>
      </w:r>
      <w:proofErr w:type="spellEnd"/>
      <w:r w:rsidRPr="005F5F47">
        <w:rPr>
          <w:rFonts w:ascii="Times New Roman" w:eastAsia="Times New Roman" w:hAnsi="Times New Roman" w:cs="Times New Roman"/>
          <w:sz w:val="24"/>
          <w:szCs w:val="24"/>
          <w:lang w:eastAsia="en-SG"/>
        </w:rPr>
        <w:t xml:space="preserve">. But I wonder whether this factor may tend to reconsider the position of the sponsor, Mr. President. </w:t>
      </w:r>
      <w:r w:rsidRPr="005F5F47">
        <w:rPr>
          <w:rFonts w:ascii="Times New Roman" w:eastAsia="Times New Roman" w:hAnsi="Times New Roman" w:cs="Times New Roman"/>
          <w:b/>
          <w:bCs/>
          <w:sz w:val="24"/>
          <w:szCs w:val="24"/>
          <w:lang w:eastAsia="en-SG"/>
        </w:rPr>
        <w:t>When the Public Service Commission Act was adopted, we did not have a Department of Energy. Therefore, that function was limited and given to the Public Service Commission. Since we have a Department of Energy that is now tasked to defining policies in the energy sector, I am just wondering whether it is not appropriate at this time to really reflect the presence of the Department of Energy and grant to the Department of Energy the authority and initiative to promulgate the Distribution Code.</w:t>
      </w:r>
      <w:r w:rsidRPr="005F5F47">
        <w:rPr>
          <w:rFonts w:ascii="Times New Roman" w:eastAsia="Times New Roman" w:hAnsi="Times New Roman" w:cs="Times New Roman"/>
          <w:sz w:val="24"/>
          <w:szCs w:val="24"/>
          <w:lang w:eastAsia="en-SG"/>
        </w:rPr>
        <w:t xml:space="preserve"> And the enforcement and implementation of it shall be done by the Energy Regulatory Authority which is actually the successor of the Public Service Commission.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w:t>
      </w:r>
      <w:proofErr w:type="spellStart"/>
      <w:r w:rsidRPr="005F5F47">
        <w:rPr>
          <w:rFonts w:ascii="Times New Roman" w:eastAsia="Times New Roman" w:hAnsi="Times New Roman" w:cs="Times New Roman"/>
          <w:sz w:val="24"/>
          <w:szCs w:val="24"/>
          <w:lang w:eastAsia="en-SG"/>
        </w:rPr>
        <w:t>Osmeña</w:t>
      </w:r>
      <w:proofErr w:type="spellEnd"/>
      <w:r w:rsidRPr="005F5F47">
        <w:rPr>
          <w:rFonts w:ascii="Times New Roman" w:eastAsia="Times New Roman" w:hAnsi="Times New Roman" w:cs="Times New Roman"/>
          <w:sz w:val="24"/>
          <w:szCs w:val="24"/>
          <w:lang w:eastAsia="en-SG"/>
        </w:rPr>
        <w:t xml:space="preserve"> (J). Mr. </w:t>
      </w:r>
      <w:proofErr w:type="gramStart"/>
      <w:r w:rsidRPr="005F5F47">
        <w:rPr>
          <w:rFonts w:ascii="Times New Roman" w:eastAsia="Times New Roman" w:hAnsi="Times New Roman" w:cs="Times New Roman"/>
          <w:sz w:val="24"/>
          <w:szCs w:val="24"/>
          <w:lang w:eastAsia="en-SG"/>
        </w:rPr>
        <w:t>President, that</w:t>
      </w:r>
      <w:proofErr w:type="gramEnd"/>
      <w:r w:rsidRPr="005F5F47">
        <w:rPr>
          <w:rFonts w:ascii="Times New Roman" w:eastAsia="Times New Roman" w:hAnsi="Times New Roman" w:cs="Times New Roman"/>
          <w:sz w:val="24"/>
          <w:szCs w:val="24"/>
          <w:lang w:eastAsia="en-SG"/>
        </w:rPr>
        <w:t xml:space="preserve"> is a debate that the committee had to face in the process of hearings. </w:t>
      </w:r>
      <w:r w:rsidRPr="005F5F47">
        <w:rPr>
          <w:rFonts w:ascii="Times New Roman" w:eastAsia="Times New Roman" w:hAnsi="Times New Roman" w:cs="Times New Roman"/>
          <w:b/>
          <w:bCs/>
          <w:sz w:val="24"/>
          <w:szCs w:val="24"/>
          <w:u w:val="single"/>
          <w:lang w:eastAsia="en-SG"/>
        </w:rPr>
        <w:t>Precisely, we were of the mind that the Department of Energy sets policies.</w:t>
      </w:r>
      <w:r w:rsidRPr="005F5F47">
        <w:rPr>
          <w:rFonts w:ascii="Times New Roman" w:eastAsia="Times New Roman" w:hAnsi="Times New Roman" w:cs="Times New Roman"/>
          <w:sz w:val="24"/>
          <w:szCs w:val="24"/>
          <w:lang w:eastAsia="en-SG"/>
        </w:rPr>
        <w:t xml:space="preserve"> It prepares the power development plans. It sets goals for the country.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u w:val="single"/>
          <w:lang w:eastAsia="en-SG"/>
        </w:rPr>
        <w:t>The manner of the regulation of a distribution utility</w:t>
      </w:r>
      <w:r w:rsidRPr="005F5F47">
        <w:rPr>
          <w:rFonts w:ascii="Times New Roman" w:eastAsia="Times New Roman" w:hAnsi="Times New Roman" w:cs="Times New Roman"/>
          <w:sz w:val="24"/>
          <w:szCs w:val="24"/>
          <w:lang w:eastAsia="en-SG"/>
        </w:rPr>
        <w:t xml:space="preserve">, Mr. President, which is the essence of the distribution code -- it tells the distribution utility what it can and what it cannot do -- </w:t>
      </w:r>
      <w:r w:rsidRPr="005F5F47">
        <w:rPr>
          <w:rFonts w:ascii="Times New Roman" w:eastAsia="Times New Roman" w:hAnsi="Times New Roman" w:cs="Times New Roman"/>
          <w:b/>
          <w:bCs/>
          <w:sz w:val="24"/>
          <w:szCs w:val="24"/>
          <w:u w:val="single"/>
          <w:lang w:eastAsia="en-SG"/>
        </w:rPr>
        <w:t>is a matter that belongs to the Energy Regulatory Board</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 am sorry but this matter has been a settled issue. I hope Senator </w:t>
      </w:r>
      <w:proofErr w:type="spellStart"/>
      <w:r w:rsidRPr="005F5F47">
        <w:rPr>
          <w:rFonts w:ascii="Times New Roman" w:eastAsia="Times New Roman" w:hAnsi="Times New Roman" w:cs="Times New Roman"/>
          <w:sz w:val="24"/>
          <w:szCs w:val="24"/>
          <w:lang w:eastAsia="en-SG"/>
        </w:rPr>
        <w:t>Enrile</w:t>
      </w:r>
      <w:proofErr w:type="spellEnd"/>
      <w:r w:rsidRPr="005F5F47">
        <w:rPr>
          <w:rFonts w:ascii="Times New Roman" w:eastAsia="Times New Roman" w:hAnsi="Times New Roman" w:cs="Times New Roman"/>
          <w:sz w:val="24"/>
          <w:szCs w:val="24"/>
          <w:lang w:eastAsia="en-SG"/>
        </w:rPr>
        <w:t xml:space="preserve"> will understand.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w:t>
      </w:r>
      <w:proofErr w:type="spellStart"/>
      <w:r w:rsidRPr="005F5F47">
        <w:rPr>
          <w:rFonts w:ascii="Times New Roman" w:eastAsia="Times New Roman" w:hAnsi="Times New Roman" w:cs="Times New Roman"/>
          <w:sz w:val="24"/>
          <w:szCs w:val="24"/>
          <w:lang w:eastAsia="en-SG"/>
        </w:rPr>
        <w:t>Enrile</w:t>
      </w:r>
      <w:proofErr w:type="spellEnd"/>
      <w:r w:rsidRPr="005F5F47">
        <w:rPr>
          <w:rFonts w:ascii="Times New Roman" w:eastAsia="Times New Roman" w:hAnsi="Times New Roman" w:cs="Times New Roman"/>
          <w:sz w:val="24"/>
          <w:szCs w:val="24"/>
          <w:lang w:eastAsia="en-SG"/>
        </w:rPr>
        <w:t>. I thank the distinguished sponsor for that, Mr. President.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If that is the position of the sponsor, Mr. President, I will not insist on my proposed amendment.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President. Thank you, Senator </w:t>
      </w:r>
      <w:proofErr w:type="spellStart"/>
      <w:r w:rsidRPr="005F5F47">
        <w:rPr>
          <w:rFonts w:ascii="Times New Roman" w:eastAsia="Times New Roman" w:hAnsi="Times New Roman" w:cs="Times New Roman"/>
          <w:sz w:val="24"/>
          <w:szCs w:val="24"/>
          <w:lang w:eastAsia="en-SG"/>
        </w:rPr>
        <w:t>Enrile</w:t>
      </w:r>
      <w:proofErr w:type="spellEnd"/>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52]</w:t>
      </w:r>
      <w:r w:rsidRPr="005F5F47">
        <w:rPr>
          <w:rFonts w:ascii="Times New Roman" w:eastAsia="Times New Roman" w:hAnsi="Times New Roman" w:cs="Times New Roman"/>
          <w:sz w:val="24"/>
          <w:szCs w:val="24"/>
          <w:lang w:eastAsia="en-SG"/>
        </w:rPr>
        <w:t xml:space="preserve"> (Emphasis and underscoring supplied)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In the deliberations for another part of the EPIRA, the issue of whether the DOE can dabble in matters referring to distribution and DUs — a matter that is within the exclusive jurisdiction of the ERC — again surfaced:</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The President. Senator Guingona is recognized for an anterior amendment.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Guingona. On line 11, after the word "generation" </w:t>
      </w:r>
      <w:proofErr w:type="gramStart"/>
      <w:r w:rsidRPr="005F5F47">
        <w:rPr>
          <w:rFonts w:ascii="Times New Roman" w:eastAsia="Times New Roman" w:hAnsi="Times New Roman" w:cs="Times New Roman"/>
          <w:sz w:val="24"/>
          <w:szCs w:val="24"/>
          <w:lang w:eastAsia="en-SG"/>
        </w:rPr>
        <w:t>comma(</w:t>
      </w:r>
      <w:proofErr w:type="gramEnd"/>
      <w:r w:rsidRPr="005F5F47">
        <w:rPr>
          <w:rFonts w:ascii="Times New Roman" w:eastAsia="Times New Roman" w:hAnsi="Times New Roman" w:cs="Times New Roman"/>
          <w:sz w:val="24"/>
          <w:szCs w:val="24"/>
          <w:lang w:eastAsia="en-SG"/>
        </w:rPr>
        <w:t>,), insert the word DISTRIBUTION so that it will read: "repair and maintenance of generation, DISTRIBUTION and transmission facilities."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President. What does the sponsor say?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w:t>
      </w:r>
      <w:proofErr w:type="spellStart"/>
      <w:r w:rsidRPr="005F5F47">
        <w:rPr>
          <w:rFonts w:ascii="Times New Roman" w:eastAsia="Times New Roman" w:hAnsi="Times New Roman" w:cs="Times New Roman"/>
          <w:sz w:val="24"/>
          <w:szCs w:val="24"/>
          <w:lang w:eastAsia="en-SG"/>
        </w:rPr>
        <w:t>Osmeña</w:t>
      </w:r>
      <w:proofErr w:type="spellEnd"/>
      <w:r w:rsidRPr="005F5F47">
        <w:rPr>
          <w:rFonts w:ascii="Times New Roman" w:eastAsia="Times New Roman" w:hAnsi="Times New Roman" w:cs="Times New Roman"/>
          <w:sz w:val="24"/>
          <w:szCs w:val="24"/>
          <w:lang w:eastAsia="en-SG"/>
        </w:rPr>
        <w:t xml:space="preserve"> (J). Mr. President, we would like to read the whole paragraph: "The Power Development Program refers to the indicative plan for managing electricity demands through energy efficient programs and for upgrading, expansion, rehabilitation, repair, and maintenance of generation and transmission facilities formulated and updated yearly by the </w:t>
      </w:r>
      <w:r w:rsidRPr="005F5F47">
        <w:rPr>
          <w:rFonts w:ascii="Times New Roman" w:eastAsia="Times New Roman" w:hAnsi="Times New Roman" w:cs="Times New Roman"/>
          <w:sz w:val="24"/>
          <w:szCs w:val="24"/>
          <w:lang w:eastAsia="en-SG"/>
        </w:rPr>
        <w:lastRenderedPageBreak/>
        <w:t>DOE in coordination with the generation, transmission, and utility companies."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When we add the word DISTRIBUTION, Mr. President, are we, therefore, saying that the PDP is a program which would involve rehabilitation, repair, and maintenance of generation, DISTRIBUTION, and transmission facilities?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Again, Mr. President, I am sorry to state that this is a back</w:t>
      </w:r>
      <w:r w:rsidRPr="005F5F47">
        <w:rPr>
          <w:rFonts w:ascii="Times New Roman" w:eastAsia="Times New Roman" w:hAnsi="Times New Roman" w:cs="Times New Roman"/>
          <w:b/>
          <w:bCs/>
          <w:sz w:val="24"/>
          <w:szCs w:val="24"/>
          <w:lang w:eastAsia="en-SG"/>
        </w:rPr>
        <w:softHyphen/>
        <w:t>door attempt of the DOE to a covetous desire to take over the promulgation of the distribution rules.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Senator Guingona. This refers to the Power Development Program.</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w:t>
      </w:r>
      <w:proofErr w:type="spellStart"/>
      <w:r w:rsidRPr="005F5F47">
        <w:rPr>
          <w:rFonts w:ascii="Times New Roman" w:eastAsia="Times New Roman" w:hAnsi="Times New Roman" w:cs="Times New Roman"/>
          <w:sz w:val="24"/>
          <w:szCs w:val="24"/>
          <w:lang w:eastAsia="en-SG"/>
        </w:rPr>
        <w:t>Osmeña</w:t>
      </w:r>
      <w:proofErr w:type="spellEnd"/>
      <w:r w:rsidRPr="005F5F47">
        <w:rPr>
          <w:rFonts w:ascii="Times New Roman" w:eastAsia="Times New Roman" w:hAnsi="Times New Roman" w:cs="Times New Roman"/>
          <w:sz w:val="24"/>
          <w:szCs w:val="24"/>
          <w:lang w:eastAsia="en-SG"/>
        </w:rPr>
        <w:t xml:space="preserve"> (J). Yes, Mr. President, but it says that it provides for the upgrading, expansion, rehabilitation, repair, and maintenance. </w:t>
      </w:r>
      <w:proofErr w:type="spellStart"/>
      <w:r w:rsidRPr="005F5F47">
        <w:rPr>
          <w:rFonts w:ascii="Times New Roman" w:eastAsia="Times New Roman" w:hAnsi="Times New Roman" w:cs="Times New Roman"/>
          <w:b/>
          <w:bCs/>
          <w:i/>
          <w:iCs/>
          <w:sz w:val="24"/>
          <w:szCs w:val="24"/>
          <w:u w:val="single"/>
          <w:lang w:eastAsia="en-SG"/>
        </w:rPr>
        <w:t>Makikialam</w:t>
      </w:r>
      <w:proofErr w:type="spellEnd"/>
      <w:r w:rsidRPr="005F5F47">
        <w:rPr>
          <w:rFonts w:ascii="Times New Roman" w:eastAsia="Times New Roman" w:hAnsi="Times New Roman" w:cs="Times New Roman"/>
          <w:b/>
          <w:bCs/>
          <w:i/>
          <w:iCs/>
          <w:sz w:val="24"/>
          <w:szCs w:val="24"/>
          <w:u w:val="single"/>
          <w:lang w:eastAsia="en-SG"/>
        </w:rPr>
        <w:t xml:space="preserve"> </w:t>
      </w:r>
      <w:proofErr w:type="spellStart"/>
      <w:proofErr w:type="gramStart"/>
      <w:r w:rsidRPr="005F5F47">
        <w:rPr>
          <w:rFonts w:ascii="Times New Roman" w:eastAsia="Times New Roman" w:hAnsi="Times New Roman" w:cs="Times New Roman"/>
          <w:b/>
          <w:bCs/>
          <w:i/>
          <w:iCs/>
          <w:sz w:val="24"/>
          <w:szCs w:val="24"/>
          <w:u w:val="single"/>
          <w:lang w:eastAsia="en-SG"/>
        </w:rPr>
        <w:t>na</w:t>
      </w:r>
      <w:proofErr w:type="spellEnd"/>
      <w:proofErr w:type="gramEnd"/>
      <w:r w:rsidRPr="005F5F47">
        <w:rPr>
          <w:rFonts w:ascii="Times New Roman" w:eastAsia="Times New Roman" w:hAnsi="Times New Roman" w:cs="Times New Roman"/>
          <w:b/>
          <w:bCs/>
          <w:i/>
          <w:iCs/>
          <w:sz w:val="24"/>
          <w:szCs w:val="24"/>
          <w:u w:val="single"/>
          <w:lang w:eastAsia="en-SG"/>
        </w:rPr>
        <w:t xml:space="preserve"> </w:t>
      </w:r>
      <w:proofErr w:type="spellStart"/>
      <w:r w:rsidRPr="005F5F47">
        <w:rPr>
          <w:rFonts w:ascii="Times New Roman" w:eastAsia="Times New Roman" w:hAnsi="Times New Roman" w:cs="Times New Roman"/>
          <w:b/>
          <w:bCs/>
          <w:i/>
          <w:iCs/>
          <w:sz w:val="24"/>
          <w:szCs w:val="24"/>
          <w:u w:val="single"/>
          <w:lang w:eastAsia="en-SG"/>
        </w:rPr>
        <w:t>naman</w:t>
      </w:r>
      <w:proofErr w:type="spellEnd"/>
      <w:r w:rsidRPr="005F5F47">
        <w:rPr>
          <w:rFonts w:ascii="Times New Roman" w:eastAsia="Times New Roman" w:hAnsi="Times New Roman" w:cs="Times New Roman"/>
          <w:b/>
          <w:bCs/>
          <w:i/>
          <w:iCs/>
          <w:sz w:val="24"/>
          <w:szCs w:val="24"/>
          <w:u w:val="single"/>
          <w:lang w:eastAsia="en-SG"/>
        </w:rPr>
        <w:t xml:space="preserve"> </w:t>
      </w:r>
      <w:proofErr w:type="spellStart"/>
      <w:r w:rsidRPr="005F5F47">
        <w:rPr>
          <w:rFonts w:ascii="Times New Roman" w:eastAsia="Times New Roman" w:hAnsi="Times New Roman" w:cs="Times New Roman"/>
          <w:b/>
          <w:bCs/>
          <w:i/>
          <w:iCs/>
          <w:sz w:val="24"/>
          <w:szCs w:val="24"/>
          <w:u w:val="single"/>
          <w:lang w:eastAsia="en-SG"/>
        </w:rPr>
        <w:t>sila</w:t>
      </w:r>
      <w:proofErr w:type="spellEnd"/>
      <w:r w:rsidRPr="005F5F47">
        <w:rPr>
          <w:rFonts w:ascii="Times New Roman" w:eastAsia="Times New Roman" w:hAnsi="Times New Roman" w:cs="Times New Roman"/>
          <w:b/>
          <w:bCs/>
          <w:i/>
          <w:iCs/>
          <w:sz w:val="24"/>
          <w:szCs w:val="24"/>
          <w:u w:val="single"/>
          <w:lang w:eastAsia="en-SG"/>
        </w:rPr>
        <w:t xml:space="preserve"> </w:t>
      </w:r>
      <w:proofErr w:type="spellStart"/>
      <w:r w:rsidRPr="005F5F47">
        <w:rPr>
          <w:rFonts w:ascii="Times New Roman" w:eastAsia="Times New Roman" w:hAnsi="Times New Roman" w:cs="Times New Roman"/>
          <w:b/>
          <w:bCs/>
          <w:i/>
          <w:iCs/>
          <w:sz w:val="24"/>
          <w:szCs w:val="24"/>
          <w:u w:val="single"/>
          <w:lang w:eastAsia="en-SG"/>
        </w:rPr>
        <w:t>sa</w:t>
      </w:r>
      <w:proofErr w:type="spellEnd"/>
      <w:r w:rsidRPr="005F5F47">
        <w:rPr>
          <w:rFonts w:ascii="Times New Roman" w:eastAsia="Times New Roman" w:hAnsi="Times New Roman" w:cs="Times New Roman"/>
          <w:b/>
          <w:bCs/>
          <w:i/>
          <w:iCs/>
          <w:sz w:val="24"/>
          <w:szCs w:val="24"/>
          <w:u w:val="single"/>
          <w:lang w:eastAsia="en-SG"/>
        </w:rPr>
        <w:t xml:space="preserve"> distribution.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President. So, the sponsor is not accepting the Guingona amendment?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w:t>
      </w:r>
      <w:proofErr w:type="spellStart"/>
      <w:r w:rsidRPr="005F5F47">
        <w:rPr>
          <w:rFonts w:ascii="Times New Roman" w:eastAsia="Times New Roman" w:hAnsi="Times New Roman" w:cs="Times New Roman"/>
          <w:sz w:val="24"/>
          <w:szCs w:val="24"/>
          <w:lang w:eastAsia="en-SG"/>
        </w:rPr>
        <w:t>Osmeña</w:t>
      </w:r>
      <w:proofErr w:type="spellEnd"/>
      <w:r w:rsidRPr="005F5F47">
        <w:rPr>
          <w:rFonts w:ascii="Times New Roman" w:eastAsia="Times New Roman" w:hAnsi="Times New Roman" w:cs="Times New Roman"/>
          <w:sz w:val="24"/>
          <w:szCs w:val="24"/>
          <w:lang w:eastAsia="en-SG"/>
        </w:rPr>
        <w:t xml:space="preserve"> (J). No, Mr. President.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Senator Guingona. May I know the reason again? Because if it is a Power Development Program, I think it is logical to include distribution.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w:t>
      </w:r>
      <w:proofErr w:type="spellStart"/>
      <w:r w:rsidRPr="005F5F47">
        <w:rPr>
          <w:rFonts w:ascii="Times New Roman" w:eastAsia="Times New Roman" w:hAnsi="Times New Roman" w:cs="Times New Roman"/>
          <w:sz w:val="24"/>
          <w:szCs w:val="24"/>
          <w:lang w:eastAsia="en-SG"/>
        </w:rPr>
        <w:t>Osmeña</w:t>
      </w:r>
      <w:proofErr w:type="spellEnd"/>
      <w:r w:rsidRPr="005F5F47">
        <w:rPr>
          <w:rFonts w:ascii="Times New Roman" w:eastAsia="Times New Roman" w:hAnsi="Times New Roman" w:cs="Times New Roman"/>
          <w:sz w:val="24"/>
          <w:szCs w:val="24"/>
          <w:lang w:eastAsia="en-SG"/>
        </w:rPr>
        <w:t xml:space="preserve"> (J). Mr. President, power development program....</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Senator Guingona. It is only a plan.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w:t>
      </w:r>
      <w:proofErr w:type="spellStart"/>
      <w:r w:rsidRPr="005F5F47">
        <w:rPr>
          <w:rFonts w:ascii="Times New Roman" w:eastAsia="Times New Roman" w:hAnsi="Times New Roman" w:cs="Times New Roman"/>
          <w:sz w:val="24"/>
          <w:szCs w:val="24"/>
          <w:lang w:eastAsia="en-SG"/>
        </w:rPr>
        <w:t>Osmeña</w:t>
      </w:r>
      <w:proofErr w:type="spellEnd"/>
      <w:r w:rsidRPr="005F5F47">
        <w:rPr>
          <w:rFonts w:ascii="Times New Roman" w:eastAsia="Times New Roman" w:hAnsi="Times New Roman" w:cs="Times New Roman"/>
          <w:sz w:val="24"/>
          <w:szCs w:val="24"/>
          <w:lang w:eastAsia="en-SG"/>
        </w:rPr>
        <w:t xml:space="preserve"> (J). </w:t>
      </w:r>
      <w:r w:rsidRPr="005F5F47">
        <w:rPr>
          <w:rFonts w:ascii="Times New Roman" w:eastAsia="Times New Roman" w:hAnsi="Times New Roman" w:cs="Times New Roman"/>
          <w:b/>
          <w:bCs/>
          <w:sz w:val="24"/>
          <w:szCs w:val="24"/>
          <w:lang w:eastAsia="en-SG"/>
        </w:rPr>
        <w:t>One has to appreciate the ingenuity of the bureaucracy. One of the most heated arguments within government agencies on this bill, Mr. President, has been the result of the attempt of the DOE to take over distribution which our committee sat through.</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The PDP is a plan for managing demand through energy-efficient programs. Therefore, Mr. President, by allowing the DOE to plan energy-efficient programs, it intrudes into the functions of the ERB which controls distribution.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Senator Guingona. So, the Power Development Plan will include distribution?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w:t>
      </w:r>
      <w:proofErr w:type="spellStart"/>
      <w:r w:rsidRPr="005F5F47">
        <w:rPr>
          <w:rFonts w:ascii="Times New Roman" w:eastAsia="Times New Roman" w:hAnsi="Times New Roman" w:cs="Times New Roman"/>
          <w:sz w:val="24"/>
          <w:szCs w:val="24"/>
          <w:lang w:eastAsia="en-SG"/>
        </w:rPr>
        <w:t>Osmeña</w:t>
      </w:r>
      <w:proofErr w:type="spellEnd"/>
      <w:r w:rsidRPr="005F5F47">
        <w:rPr>
          <w:rFonts w:ascii="Times New Roman" w:eastAsia="Times New Roman" w:hAnsi="Times New Roman" w:cs="Times New Roman"/>
          <w:sz w:val="24"/>
          <w:szCs w:val="24"/>
          <w:lang w:eastAsia="en-SG"/>
        </w:rPr>
        <w:t xml:space="preserve"> (J). Mr. President, </w:t>
      </w:r>
      <w:r w:rsidRPr="005F5F47">
        <w:rPr>
          <w:rFonts w:ascii="Times New Roman" w:eastAsia="Times New Roman" w:hAnsi="Times New Roman" w:cs="Times New Roman"/>
          <w:b/>
          <w:bCs/>
          <w:sz w:val="24"/>
          <w:szCs w:val="24"/>
          <w:lang w:eastAsia="en-SG"/>
        </w:rPr>
        <w:t>the Power Development Plan</w:t>
      </w:r>
      <w:r w:rsidRPr="005F5F47">
        <w:rPr>
          <w:rFonts w:ascii="Times New Roman" w:eastAsia="Times New Roman" w:hAnsi="Times New Roman" w:cs="Times New Roman"/>
          <w:sz w:val="24"/>
          <w:szCs w:val="24"/>
          <w:lang w:eastAsia="en-SG"/>
        </w:rPr>
        <w:t xml:space="preserve"> will include upgrading, expansion, rehabilitation, repair and maintenance of generation and transmission facilities. </w:t>
      </w:r>
      <w:r w:rsidRPr="005F5F47">
        <w:rPr>
          <w:rFonts w:ascii="Times New Roman" w:eastAsia="Times New Roman" w:hAnsi="Times New Roman" w:cs="Times New Roman"/>
          <w:b/>
          <w:bCs/>
          <w:sz w:val="24"/>
          <w:szCs w:val="24"/>
          <w:lang w:eastAsia="en-SG"/>
        </w:rPr>
        <w:t xml:space="preserve">It is just a plan to make available a certain amount of power. </w:t>
      </w:r>
      <w:r w:rsidRPr="005F5F47">
        <w:rPr>
          <w:rFonts w:ascii="Times New Roman" w:eastAsia="Times New Roman" w:hAnsi="Times New Roman" w:cs="Times New Roman"/>
          <w:b/>
          <w:bCs/>
          <w:sz w:val="24"/>
          <w:szCs w:val="24"/>
          <w:u w:val="single"/>
          <w:lang w:eastAsia="en-SG"/>
        </w:rPr>
        <w:t>It is not a plan that will tell a distribution company where, how, or in what manner it should do its business.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Senator Guingona. Yes, but the distribution is regulated, Mr. President. Therefore, if it is to be regulated, it must tell the company what is expected of it as far as standards are concerned.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Senator </w:t>
      </w:r>
      <w:proofErr w:type="spellStart"/>
      <w:r w:rsidRPr="005F5F47">
        <w:rPr>
          <w:rFonts w:ascii="Times New Roman" w:eastAsia="Times New Roman" w:hAnsi="Times New Roman" w:cs="Times New Roman"/>
          <w:sz w:val="24"/>
          <w:szCs w:val="24"/>
          <w:lang w:eastAsia="en-SG"/>
        </w:rPr>
        <w:t>Osmeña</w:t>
      </w:r>
      <w:proofErr w:type="spellEnd"/>
      <w:r w:rsidRPr="005F5F47">
        <w:rPr>
          <w:rFonts w:ascii="Times New Roman" w:eastAsia="Times New Roman" w:hAnsi="Times New Roman" w:cs="Times New Roman"/>
          <w:sz w:val="24"/>
          <w:szCs w:val="24"/>
          <w:lang w:eastAsia="en-SG"/>
        </w:rPr>
        <w:t xml:space="preserve"> (J). Mr. President, </w:t>
      </w:r>
      <w:r w:rsidRPr="005F5F47">
        <w:rPr>
          <w:rFonts w:ascii="Times New Roman" w:eastAsia="Times New Roman" w:hAnsi="Times New Roman" w:cs="Times New Roman"/>
          <w:b/>
          <w:bCs/>
          <w:sz w:val="24"/>
          <w:szCs w:val="24"/>
          <w:u w:val="single"/>
          <w:lang w:eastAsia="en-SG"/>
        </w:rPr>
        <w:t>standards are part and parcel of the responsibility of the ERB which promulgates a distribution code</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53]</w:t>
      </w:r>
      <w:r w:rsidRPr="005F5F47">
        <w:rPr>
          <w:rFonts w:ascii="Times New Roman" w:eastAsia="Times New Roman" w:hAnsi="Times New Roman" w:cs="Times New Roman"/>
          <w:sz w:val="24"/>
          <w:szCs w:val="24"/>
          <w:lang w:eastAsia="en-SG"/>
        </w:rPr>
        <w:t xml:space="preserve"> (Emphasis and underscoring supplied)</w:t>
      </w:r>
    </w:p>
    <w:p w:rsidR="005F5F47" w:rsidRPr="005F5F47" w:rsidRDefault="005F5F47" w:rsidP="005F5F47">
      <w:pPr>
        <w:spacing w:after="24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Quite evident from the foregoing is the intention of the legislature — reflected in both the letter of the law and the deliberations — to create an independent ERC that is separate from the DOE. Thus, while the DOE validly set the CSP requirement, acting within the scope of its </w:t>
      </w:r>
      <w:r w:rsidRPr="005F5F47">
        <w:rPr>
          <w:rFonts w:ascii="Times New Roman" w:eastAsia="Times New Roman" w:hAnsi="Times New Roman" w:cs="Times New Roman"/>
          <w:sz w:val="24"/>
          <w:szCs w:val="24"/>
          <w:lang w:eastAsia="en-SG"/>
        </w:rPr>
        <w:lastRenderedPageBreak/>
        <w:t xml:space="preserve">powers as the industry's policy-maker, the EPIRA nonetheless lodges the particulars, </w:t>
      </w:r>
      <w:r w:rsidRPr="005F5F47">
        <w:rPr>
          <w:rFonts w:ascii="Times New Roman" w:eastAsia="Times New Roman" w:hAnsi="Times New Roman" w:cs="Times New Roman"/>
          <w:i/>
          <w:iCs/>
          <w:sz w:val="24"/>
          <w:szCs w:val="24"/>
          <w:lang w:eastAsia="en-SG"/>
        </w:rPr>
        <w:t>i.e.</w:t>
      </w:r>
      <w:r w:rsidRPr="005F5F47">
        <w:rPr>
          <w:rFonts w:ascii="Times New Roman" w:eastAsia="Times New Roman" w:hAnsi="Times New Roman" w:cs="Times New Roman"/>
          <w:sz w:val="24"/>
          <w:szCs w:val="24"/>
          <w:lang w:eastAsia="en-SG"/>
        </w:rPr>
        <w:t xml:space="preserve">, its implementation, the specific requirements, and its effectivity date, among others, to ERC — the industry's independent </w:t>
      </w:r>
      <w:r w:rsidRPr="005F5F47">
        <w:rPr>
          <w:rFonts w:ascii="Times New Roman" w:eastAsia="Times New Roman" w:hAnsi="Times New Roman" w:cs="Times New Roman"/>
          <w:b/>
          <w:bCs/>
          <w:sz w:val="24"/>
          <w:szCs w:val="24"/>
          <w:u w:val="single"/>
          <w:lang w:eastAsia="en-SG"/>
        </w:rPr>
        <w:t>regulator</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Guided by the pronouncement of the Court in </w:t>
      </w:r>
      <w:r w:rsidRPr="005F5F47">
        <w:rPr>
          <w:rFonts w:ascii="Times New Roman" w:eastAsia="Times New Roman" w:hAnsi="Times New Roman" w:cs="Times New Roman"/>
          <w:i/>
          <w:iCs/>
          <w:sz w:val="24"/>
          <w:szCs w:val="24"/>
          <w:lang w:eastAsia="en-SG"/>
        </w:rPr>
        <w:t>Freedom From Debt Coalition</w:t>
      </w:r>
      <w:r w:rsidRPr="005F5F47">
        <w:rPr>
          <w:rFonts w:ascii="Times New Roman" w:eastAsia="Times New Roman" w:hAnsi="Times New Roman" w:cs="Times New Roman"/>
          <w:sz w:val="24"/>
          <w:szCs w:val="24"/>
          <w:lang w:eastAsia="en-SG"/>
        </w:rPr>
        <w:t xml:space="preserve"> that "[</w:t>
      </w:r>
      <w:proofErr w:type="spellStart"/>
      <w:r w:rsidRPr="005F5F47">
        <w:rPr>
          <w:rFonts w:ascii="Times New Roman" w:eastAsia="Times New Roman" w:hAnsi="Times New Roman" w:cs="Times New Roman"/>
          <w:sz w:val="24"/>
          <w:szCs w:val="24"/>
          <w:lang w:eastAsia="en-SG"/>
        </w:rPr>
        <w:t>i</w:t>
      </w:r>
      <w:proofErr w:type="spellEnd"/>
      <w:r w:rsidRPr="005F5F47">
        <w:rPr>
          <w:rFonts w:ascii="Times New Roman" w:eastAsia="Times New Roman" w:hAnsi="Times New Roman" w:cs="Times New Roman"/>
          <w:sz w:val="24"/>
          <w:szCs w:val="24"/>
          <w:lang w:eastAsia="en-SG"/>
        </w:rPr>
        <w:t>]n determining the extent of powers possessed by the ERC, the provisions of the EPIRA must not be read in separate parts"</w:t>
      </w:r>
      <w:r w:rsidRPr="005F5F47">
        <w:rPr>
          <w:rFonts w:ascii="Times New Roman" w:eastAsia="Times New Roman" w:hAnsi="Times New Roman" w:cs="Times New Roman"/>
          <w:color w:val="FF0000"/>
          <w:sz w:val="24"/>
          <w:szCs w:val="24"/>
          <w:vertAlign w:val="superscript"/>
          <w:lang w:eastAsia="en-SG"/>
        </w:rPr>
        <w:t>[54]</w:t>
      </w:r>
      <w:r w:rsidRPr="005F5F47">
        <w:rPr>
          <w:rFonts w:ascii="Times New Roman" w:eastAsia="Times New Roman" w:hAnsi="Times New Roman" w:cs="Times New Roman"/>
          <w:sz w:val="24"/>
          <w:szCs w:val="24"/>
          <w:lang w:eastAsia="en-SG"/>
        </w:rPr>
        <w:t xml:space="preserve"> and that "the law must be read in its entirety, because a statute is passed as a whole, and is animated by one general purpose and intent,"</w:t>
      </w:r>
      <w:r w:rsidRPr="005F5F47">
        <w:rPr>
          <w:rFonts w:ascii="Times New Roman" w:eastAsia="Times New Roman" w:hAnsi="Times New Roman" w:cs="Times New Roman"/>
          <w:color w:val="FF0000"/>
          <w:sz w:val="24"/>
          <w:szCs w:val="24"/>
          <w:vertAlign w:val="superscript"/>
          <w:lang w:eastAsia="en-SG"/>
        </w:rPr>
        <w:t>[55]</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lang w:eastAsia="en-SG"/>
        </w:rPr>
        <w:t xml:space="preserve">it is therefore unquestionable that EPIRA granted the ERC sufficient powers to set when the players in the energy sector will be bound by the policy set by DOE. This is especially true </w:t>
      </w:r>
      <w:r w:rsidRPr="005F5F47">
        <w:rPr>
          <w:rFonts w:ascii="Times New Roman" w:eastAsia="Times New Roman" w:hAnsi="Times New Roman" w:cs="Times New Roman"/>
          <w:b/>
          <w:bCs/>
          <w:i/>
          <w:iCs/>
          <w:sz w:val="24"/>
          <w:szCs w:val="24"/>
          <w:lang w:eastAsia="en-SG"/>
        </w:rPr>
        <w:t>in this case</w:t>
      </w:r>
      <w:r w:rsidRPr="005F5F47">
        <w:rPr>
          <w:rFonts w:ascii="Times New Roman" w:eastAsia="Times New Roman" w:hAnsi="Times New Roman" w:cs="Times New Roman"/>
          <w:b/>
          <w:bCs/>
          <w:sz w:val="24"/>
          <w:szCs w:val="24"/>
          <w:lang w:eastAsia="en-SG"/>
        </w:rPr>
        <w:t xml:space="preserve"> when, as will be shown below, the DOE itself </w:t>
      </w:r>
      <w:r w:rsidRPr="005F5F47">
        <w:rPr>
          <w:rFonts w:ascii="Times New Roman" w:eastAsia="Times New Roman" w:hAnsi="Times New Roman" w:cs="Times New Roman"/>
          <w:b/>
          <w:bCs/>
          <w:sz w:val="24"/>
          <w:szCs w:val="24"/>
          <w:u w:val="single"/>
          <w:lang w:eastAsia="en-SG"/>
        </w:rPr>
        <w:t>did not</w:t>
      </w:r>
      <w:r w:rsidRPr="005F5F47">
        <w:rPr>
          <w:rFonts w:ascii="Times New Roman" w:eastAsia="Times New Roman" w:hAnsi="Times New Roman" w:cs="Times New Roman"/>
          <w:b/>
          <w:bCs/>
          <w:sz w:val="24"/>
          <w:szCs w:val="24"/>
          <w:lang w:eastAsia="en-SG"/>
        </w:rPr>
        <w:t xml:space="preserve"> set the timeframe for the effectivity of the policy it put in place</w:t>
      </w:r>
      <w:r w:rsidRPr="005F5F47">
        <w:rPr>
          <w:rFonts w:ascii="Times New Roman" w:eastAsia="Times New Roman" w:hAnsi="Times New Roman" w:cs="Times New Roman"/>
          <w:sz w:val="24"/>
          <w:szCs w:val="24"/>
          <w:lang w:eastAsia="en-SG"/>
        </w:rPr>
        <w:t>, and even, in fact, delegated to the ERC the power to issue supplemental guidelines for its implementation.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i/>
          <w:iCs/>
          <w:sz w:val="24"/>
          <w:szCs w:val="24"/>
          <w:lang w:eastAsia="en-SG"/>
        </w:rPr>
        <w:t>The ERC has the power to issue the assailed Resolution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proofErr w:type="gramStart"/>
      <w:r w:rsidRPr="005F5F47">
        <w:rPr>
          <w:rFonts w:ascii="Times New Roman" w:eastAsia="Times New Roman" w:hAnsi="Times New Roman" w:cs="Times New Roman"/>
          <w:sz w:val="24"/>
          <w:szCs w:val="24"/>
          <w:lang w:eastAsia="en-SG"/>
        </w:rPr>
        <w:t>As</w:t>
      </w:r>
      <w:proofErr w:type="gramEnd"/>
      <w:r w:rsidRPr="005F5F47">
        <w:rPr>
          <w:rFonts w:ascii="Times New Roman" w:eastAsia="Times New Roman" w:hAnsi="Times New Roman" w:cs="Times New Roman"/>
          <w:sz w:val="24"/>
          <w:szCs w:val="24"/>
          <w:lang w:eastAsia="en-SG"/>
        </w:rPr>
        <w:t xml:space="preserve"> the independent regulator of the industry, the ERC therefore had the power and jurisdiction to state, and restate, the effectivity date of the requirement to undergo the CSP before a PSA between a </w:t>
      </w:r>
      <w:proofErr w:type="spellStart"/>
      <w:r w:rsidRPr="005F5F47">
        <w:rPr>
          <w:rFonts w:ascii="Times New Roman" w:eastAsia="Times New Roman" w:hAnsi="Times New Roman" w:cs="Times New Roman"/>
          <w:sz w:val="24"/>
          <w:szCs w:val="24"/>
          <w:lang w:eastAsia="en-SG"/>
        </w:rPr>
        <w:t>GenCo</w:t>
      </w:r>
      <w:proofErr w:type="spellEnd"/>
      <w:r w:rsidRPr="005F5F47">
        <w:rPr>
          <w:rFonts w:ascii="Times New Roman" w:eastAsia="Times New Roman" w:hAnsi="Times New Roman" w:cs="Times New Roman"/>
          <w:sz w:val="24"/>
          <w:szCs w:val="24"/>
          <w:lang w:eastAsia="en-SG"/>
        </w:rPr>
        <w:t xml:space="preserve"> and a DU is approved.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In this regard,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however, rules that as soon as the DOE's Circular became effective on June 30, 2015, the CSP already became effective, so that all PSAs submitted on or after June 30, 2015 are required to undergo the CSP.</w:t>
      </w:r>
      <w:r w:rsidRPr="005F5F47">
        <w:rPr>
          <w:rFonts w:ascii="Times New Roman" w:eastAsia="Times New Roman" w:hAnsi="Times New Roman" w:cs="Times New Roman"/>
          <w:color w:val="FF0000"/>
          <w:sz w:val="24"/>
          <w:szCs w:val="24"/>
          <w:vertAlign w:val="superscript"/>
          <w:lang w:eastAsia="en-SG"/>
        </w:rPr>
        <w:t>[56]</w:t>
      </w:r>
      <w:r w:rsidRPr="005F5F47">
        <w:rPr>
          <w:rFonts w:ascii="Times New Roman" w:eastAsia="Times New Roman" w:hAnsi="Times New Roman" w:cs="Times New Roman"/>
          <w:sz w:val="24"/>
          <w:szCs w:val="24"/>
          <w:lang w:eastAsia="en-SG"/>
        </w:rPr>
        <w:t xml:space="preserve">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further rules that the ERC therefore unilaterally moved the effectivity of the CSP twice — first, when it issued Resolution No. 13 and stated that it would be effective after its publication (it became effective on November 7, 2015) and second, when it issued Resolution No. 1 which moved the effectivity from November 7, 2015 to April 30, 2016.</w:t>
      </w:r>
      <w:r w:rsidRPr="005F5F47">
        <w:rPr>
          <w:rFonts w:ascii="Times New Roman" w:eastAsia="Times New Roman" w:hAnsi="Times New Roman" w:cs="Times New Roman"/>
          <w:color w:val="FF0000"/>
          <w:sz w:val="24"/>
          <w:szCs w:val="24"/>
          <w:vertAlign w:val="superscript"/>
          <w:lang w:eastAsia="en-SG"/>
        </w:rPr>
        <w:t>[57]</w:t>
      </w:r>
      <w:r w:rsidRPr="005F5F47">
        <w:rPr>
          <w:rFonts w:ascii="Times New Roman" w:eastAsia="Times New Roman" w:hAnsi="Times New Roman" w:cs="Times New Roman"/>
          <w:sz w:val="24"/>
          <w:szCs w:val="24"/>
          <w:lang w:eastAsia="en-SG"/>
        </w:rPr>
        <w:t xml:space="preserve"> Further,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rules that even if the ERC is empowered to issue the appropriate regulations to implement the CSP,</w:t>
      </w:r>
      <w:r w:rsidRPr="005F5F47">
        <w:rPr>
          <w:rFonts w:ascii="Times New Roman" w:eastAsia="Times New Roman" w:hAnsi="Times New Roman" w:cs="Times New Roman"/>
          <w:color w:val="FF0000"/>
          <w:sz w:val="24"/>
          <w:szCs w:val="24"/>
          <w:vertAlign w:val="superscript"/>
          <w:lang w:eastAsia="en-SG"/>
        </w:rPr>
        <w:t>[58]</w:t>
      </w:r>
      <w:r w:rsidRPr="005F5F47">
        <w:rPr>
          <w:rFonts w:ascii="Times New Roman" w:eastAsia="Times New Roman" w:hAnsi="Times New Roman" w:cs="Times New Roman"/>
          <w:sz w:val="24"/>
          <w:szCs w:val="24"/>
          <w:lang w:eastAsia="en-SG"/>
        </w:rPr>
        <w:t xml:space="preserve"> this is limited by the fact that such regulation should be issued in coordination with the DOE.</w:t>
      </w:r>
      <w:r w:rsidRPr="005F5F47">
        <w:rPr>
          <w:rFonts w:ascii="Times New Roman" w:eastAsia="Times New Roman" w:hAnsi="Times New Roman" w:cs="Times New Roman"/>
          <w:color w:val="FF0000"/>
          <w:sz w:val="24"/>
          <w:szCs w:val="24"/>
          <w:vertAlign w:val="superscript"/>
          <w:lang w:eastAsia="en-SG"/>
        </w:rPr>
        <w:t>[59]</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Justice </w:t>
      </w:r>
      <w:proofErr w:type="spellStart"/>
      <w:r w:rsidRPr="005F5F47">
        <w:rPr>
          <w:rFonts w:ascii="Times New Roman" w:eastAsia="Times New Roman" w:hAnsi="Times New Roman" w:cs="Times New Roman"/>
          <w:sz w:val="24"/>
          <w:szCs w:val="24"/>
          <w:lang w:eastAsia="en-SG"/>
        </w:rPr>
        <w:t>Bernabe</w:t>
      </w:r>
      <w:proofErr w:type="spellEnd"/>
      <w:r w:rsidRPr="005F5F47">
        <w:rPr>
          <w:rFonts w:ascii="Times New Roman" w:eastAsia="Times New Roman" w:hAnsi="Times New Roman" w:cs="Times New Roman"/>
          <w:sz w:val="24"/>
          <w:szCs w:val="24"/>
          <w:lang w:eastAsia="en-SG"/>
        </w:rPr>
        <w:t xml:space="preserve"> adds, in her Separate Concurring Opinion, that the ERC had no sole discretion under Joint Resolution No. 1 to promulgate whatever rules it deemed fit to implement the CSP.</w:t>
      </w:r>
      <w:r w:rsidRPr="005F5F47">
        <w:rPr>
          <w:rFonts w:ascii="Times New Roman" w:eastAsia="Times New Roman" w:hAnsi="Times New Roman" w:cs="Times New Roman"/>
          <w:color w:val="FF0000"/>
          <w:sz w:val="24"/>
          <w:szCs w:val="24"/>
          <w:vertAlign w:val="superscript"/>
          <w:lang w:eastAsia="en-SG"/>
        </w:rPr>
        <w:t>[60]</w:t>
      </w:r>
      <w:r w:rsidRPr="005F5F47">
        <w:rPr>
          <w:rFonts w:ascii="Times New Roman" w:eastAsia="Times New Roman" w:hAnsi="Times New Roman" w:cs="Times New Roman"/>
          <w:sz w:val="24"/>
          <w:szCs w:val="24"/>
          <w:lang w:eastAsia="en-SG"/>
        </w:rPr>
        <w:t xml:space="preserve"> For Justice </w:t>
      </w:r>
      <w:proofErr w:type="spellStart"/>
      <w:r w:rsidRPr="005F5F47">
        <w:rPr>
          <w:rFonts w:ascii="Times New Roman" w:eastAsia="Times New Roman" w:hAnsi="Times New Roman" w:cs="Times New Roman"/>
          <w:sz w:val="24"/>
          <w:szCs w:val="24"/>
          <w:lang w:eastAsia="en-SG"/>
        </w:rPr>
        <w:t>Bernabe</w:t>
      </w:r>
      <w:proofErr w:type="spellEnd"/>
      <w:r w:rsidRPr="005F5F47">
        <w:rPr>
          <w:rFonts w:ascii="Times New Roman" w:eastAsia="Times New Roman" w:hAnsi="Times New Roman" w:cs="Times New Roman"/>
          <w:sz w:val="24"/>
          <w:szCs w:val="24"/>
          <w:lang w:eastAsia="en-SG"/>
        </w:rPr>
        <w:t>, even if Joint Resolution No. 1 gave the ERC the power to issue the "appropriate guidelines to implement the [CSP]", the term "appropriate guidelines" refers only to the "supplemental guidelines" that the ERC may issue for the design and execution of the CSP following Section 4 of the DOE Circular.</w:t>
      </w:r>
      <w:r w:rsidRPr="005F5F47">
        <w:rPr>
          <w:rFonts w:ascii="Times New Roman" w:eastAsia="Times New Roman" w:hAnsi="Times New Roman" w:cs="Times New Roman"/>
          <w:color w:val="FF0000"/>
          <w:sz w:val="24"/>
          <w:szCs w:val="24"/>
          <w:vertAlign w:val="superscript"/>
          <w:lang w:eastAsia="en-SG"/>
        </w:rPr>
        <w:t>[61]</w:t>
      </w:r>
      <w:r w:rsidRPr="005F5F47">
        <w:rPr>
          <w:rFonts w:ascii="Times New Roman" w:eastAsia="Times New Roman" w:hAnsi="Times New Roman" w:cs="Times New Roman"/>
          <w:sz w:val="24"/>
          <w:szCs w:val="24"/>
          <w:lang w:eastAsia="en-SG"/>
        </w:rPr>
        <w:t xml:space="preserve"> In the same breath, however, Justice </w:t>
      </w:r>
      <w:proofErr w:type="spellStart"/>
      <w:r w:rsidRPr="005F5F47">
        <w:rPr>
          <w:rFonts w:ascii="Times New Roman" w:eastAsia="Times New Roman" w:hAnsi="Times New Roman" w:cs="Times New Roman"/>
          <w:sz w:val="24"/>
          <w:szCs w:val="24"/>
          <w:lang w:eastAsia="en-SG"/>
        </w:rPr>
        <w:t>Bernabe</w:t>
      </w:r>
      <w:proofErr w:type="spellEnd"/>
      <w:r w:rsidRPr="005F5F47">
        <w:rPr>
          <w:rFonts w:ascii="Times New Roman" w:eastAsia="Times New Roman" w:hAnsi="Times New Roman" w:cs="Times New Roman"/>
          <w:sz w:val="24"/>
          <w:szCs w:val="24"/>
          <w:lang w:eastAsia="en-SG"/>
        </w:rPr>
        <w:t xml:space="preserve"> disagrees with the </w:t>
      </w:r>
      <w:proofErr w:type="spellStart"/>
      <w:r w:rsidRPr="005F5F47">
        <w:rPr>
          <w:rFonts w:ascii="Times New Roman" w:eastAsia="Times New Roman" w:hAnsi="Times New Roman" w:cs="Times New Roman"/>
          <w:i/>
          <w:iCs/>
          <w:sz w:val="24"/>
          <w:szCs w:val="24"/>
          <w:lang w:eastAsia="en-SG"/>
        </w:rPr>
        <w:t>ponencia</w:t>
      </w:r>
      <w:r w:rsidRPr="005F5F47">
        <w:rPr>
          <w:rFonts w:ascii="Times New Roman" w:eastAsia="Times New Roman" w:hAnsi="Times New Roman" w:cs="Times New Roman"/>
          <w:sz w:val="24"/>
          <w:szCs w:val="24"/>
          <w:lang w:eastAsia="en-SG"/>
        </w:rPr>
        <w:t>'s</w:t>
      </w:r>
      <w:proofErr w:type="spellEnd"/>
      <w:r w:rsidRPr="005F5F47">
        <w:rPr>
          <w:rFonts w:ascii="Times New Roman" w:eastAsia="Times New Roman" w:hAnsi="Times New Roman" w:cs="Times New Roman"/>
          <w:sz w:val="24"/>
          <w:szCs w:val="24"/>
          <w:lang w:eastAsia="en-SG"/>
        </w:rPr>
        <w:t xml:space="preserve"> assertion that the CSP became effective on June 30, 2015 because, according to her, the Joint Resolution explicitly recognized the ERC's power to issue the specific guidelines on the CSP, and Resolution No. 13 is not being questioned in this petition thus rendering it impossible for the CSP to be effective by June 30, 2015.</w:t>
      </w:r>
      <w:r w:rsidRPr="005F5F47">
        <w:rPr>
          <w:rFonts w:ascii="Times New Roman" w:eastAsia="Times New Roman" w:hAnsi="Times New Roman" w:cs="Times New Roman"/>
          <w:color w:val="FF0000"/>
          <w:sz w:val="24"/>
          <w:szCs w:val="24"/>
          <w:vertAlign w:val="superscript"/>
          <w:lang w:eastAsia="en-SG"/>
        </w:rPr>
        <w:t>[62]</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 agree with Justice </w:t>
      </w:r>
      <w:proofErr w:type="spellStart"/>
      <w:r w:rsidRPr="005F5F47">
        <w:rPr>
          <w:rFonts w:ascii="Times New Roman" w:eastAsia="Times New Roman" w:hAnsi="Times New Roman" w:cs="Times New Roman"/>
          <w:sz w:val="24"/>
          <w:szCs w:val="24"/>
          <w:lang w:eastAsia="en-SG"/>
        </w:rPr>
        <w:t>Bernabe</w:t>
      </w:r>
      <w:proofErr w:type="spellEnd"/>
      <w:r w:rsidRPr="005F5F47">
        <w:rPr>
          <w:rFonts w:ascii="Times New Roman" w:eastAsia="Times New Roman" w:hAnsi="Times New Roman" w:cs="Times New Roman"/>
          <w:sz w:val="24"/>
          <w:szCs w:val="24"/>
          <w:lang w:eastAsia="en-SG"/>
        </w:rPr>
        <w:t xml:space="preserve"> that the CSP could not have been effective by June 30, 2015 because by June 30, 2015, all that was set was only the policy that the CSP would be the mode of procuring PSAs. There were no guidelines yet on how the CSP was to be implemented. Indeed, Resolution No. 13 is not even questioned in this petition and the DOE Circular and the Joint Resolution are both clear in that the ERC still needed to issue the guidelines to implement the CSP, which it did in Resolution No. 13.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lastRenderedPageBreak/>
        <w:t>I, however, disagree that the ERC was required to coordinate with the DOE in setting the effective date of the implementation of the CSP.</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 stress anew that Resolutions Nos. 13 and 1 cannot be said to have amended the DOE Circular </w:t>
      </w:r>
      <w:r w:rsidRPr="005F5F47">
        <w:rPr>
          <w:rFonts w:ascii="Times New Roman" w:eastAsia="Times New Roman" w:hAnsi="Times New Roman" w:cs="Times New Roman"/>
          <w:b/>
          <w:bCs/>
          <w:sz w:val="24"/>
          <w:szCs w:val="24"/>
          <w:lang w:eastAsia="en-SG"/>
        </w:rPr>
        <w:t xml:space="preserve">because the latter did </w:t>
      </w:r>
      <w:r w:rsidRPr="005F5F47">
        <w:rPr>
          <w:rFonts w:ascii="Times New Roman" w:eastAsia="Times New Roman" w:hAnsi="Times New Roman" w:cs="Times New Roman"/>
          <w:b/>
          <w:bCs/>
          <w:sz w:val="24"/>
          <w:szCs w:val="24"/>
          <w:u w:val="single"/>
          <w:lang w:eastAsia="en-SG"/>
        </w:rPr>
        <w:t>not</w:t>
      </w:r>
      <w:r w:rsidRPr="005F5F47">
        <w:rPr>
          <w:rFonts w:ascii="Times New Roman" w:eastAsia="Times New Roman" w:hAnsi="Times New Roman" w:cs="Times New Roman"/>
          <w:b/>
          <w:bCs/>
          <w:sz w:val="24"/>
          <w:szCs w:val="24"/>
          <w:lang w:eastAsia="en-SG"/>
        </w:rPr>
        <w:t xml:space="preserve"> set the effective date or the start of the implementation of the CSP requirement</w:t>
      </w:r>
      <w:r w:rsidRPr="005F5F47">
        <w:rPr>
          <w:rFonts w:ascii="Times New Roman" w:eastAsia="Times New Roman" w:hAnsi="Times New Roman" w:cs="Times New Roman"/>
          <w:sz w:val="24"/>
          <w:szCs w:val="24"/>
          <w:lang w:eastAsia="en-SG"/>
        </w:rPr>
        <w:t xml:space="preserve">. The DOE Circular was a mere policy-setting document that put in place the CSP requirement, and it did not require that the CSP must be implemented by June 30, 2015, because by then no CSP guidelines existed. In fact, the effective date of the CSP Guidelines of November 7, 2015 was set only by Resolution No. 13 which, in turn, the ERC could </w:t>
      </w:r>
      <w:r w:rsidRPr="005F5F47">
        <w:rPr>
          <w:rFonts w:ascii="Times New Roman" w:eastAsia="Times New Roman" w:hAnsi="Times New Roman" w:cs="Times New Roman"/>
          <w:i/>
          <w:iCs/>
          <w:sz w:val="24"/>
          <w:szCs w:val="24"/>
          <w:lang w:eastAsia="en-SG"/>
        </w:rPr>
        <w:t>solely</w:t>
      </w:r>
      <w:r w:rsidRPr="005F5F47">
        <w:rPr>
          <w:rFonts w:ascii="Times New Roman" w:eastAsia="Times New Roman" w:hAnsi="Times New Roman" w:cs="Times New Roman"/>
          <w:sz w:val="24"/>
          <w:szCs w:val="24"/>
          <w:lang w:eastAsia="en-SG"/>
        </w:rPr>
        <w:t xml:space="preserve"> issue precisely because it was empowered by the law, </w:t>
      </w:r>
      <w:r w:rsidRPr="005F5F47">
        <w:rPr>
          <w:rFonts w:ascii="Times New Roman" w:eastAsia="Times New Roman" w:hAnsi="Times New Roman" w:cs="Times New Roman"/>
          <w:i/>
          <w:iCs/>
          <w:sz w:val="24"/>
          <w:szCs w:val="24"/>
          <w:lang w:eastAsia="en-SG"/>
        </w:rPr>
        <w:t>i.e.</w:t>
      </w:r>
      <w:r w:rsidRPr="005F5F47">
        <w:rPr>
          <w:rFonts w:ascii="Times New Roman" w:eastAsia="Times New Roman" w:hAnsi="Times New Roman" w:cs="Times New Roman"/>
          <w:sz w:val="24"/>
          <w:szCs w:val="24"/>
          <w:lang w:eastAsia="en-SG"/>
        </w:rPr>
        <w:t>, the EPIRA. The power of the ERC to set the effectivity date was even recognized by the DOE in the Joint Resolution.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When it issued Resolution No. 13, the ERC had yet to realize the effects of an immediate imposition of the CSP requirement. When the ERC subsequently decided to suspend the implementation of the CSP requirement by a few months, through the issuance of Resolution No. 1, in response to various issues raised by the players in the energy industry, it was, therefore, still acting within its powers as granted by the EPIRA, </w:t>
      </w:r>
      <w:r w:rsidRPr="005F5F47">
        <w:rPr>
          <w:rFonts w:ascii="Times New Roman" w:eastAsia="Times New Roman" w:hAnsi="Times New Roman" w:cs="Times New Roman"/>
          <w:b/>
          <w:bCs/>
          <w:sz w:val="24"/>
          <w:szCs w:val="24"/>
          <w:u w:val="single"/>
          <w:lang w:eastAsia="en-SG"/>
        </w:rPr>
        <w:t>the exercise of which was not limited or contracted by the issuance of the Joint Resolution</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There was thus no grave abuse of discretion when Resolutions Nos. 13 and 1 were issued because the ERC was acting within the scope of powers granted to it. It is erroneous to require the ERC to coordinate with, much less to seek the approval of, the DOE in connection with the issuance of Resolutions Nos. 13 and 1. </w:t>
      </w:r>
      <w:r w:rsidRPr="005F5F47">
        <w:rPr>
          <w:rFonts w:ascii="Times New Roman" w:eastAsia="Times New Roman" w:hAnsi="Times New Roman" w:cs="Times New Roman"/>
          <w:b/>
          <w:bCs/>
          <w:sz w:val="24"/>
          <w:szCs w:val="24"/>
          <w:lang w:eastAsia="en-SG"/>
        </w:rPr>
        <w:t>It simply did not, and does not, need to.</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That the ERC was </w:t>
      </w:r>
      <w:r w:rsidRPr="005F5F47">
        <w:rPr>
          <w:rFonts w:ascii="Times New Roman" w:eastAsia="Times New Roman" w:hAnsi="Times New Roman" w:cs="Times New Roman"/>
          <w:b/>
          <w:bCs/>
          <w:sz w:val="24"/>
          <w:szCs w:val="24"/>
          <w:u w:val="single"/>
          <w:lang w:eastAsia="en-SG"/>
        </w:rPr>
        <w:t>not required</w:t>
      </w:r>
      <w:r w:rsidRPr="005F5F47">
        <w:rPr>
          <w:rFonts w:ascii="Times New Roman" w:eastAsia="Times New Roman" w:hAnsi="Times New Roman" w:cs="Times New Roman"/>
          <w:sz w:val="24"/>
          <w:szCs w:val="24"/>
          <w:lang w:eastAsia="en-SG"/>
        </w:rPr>
        <w:t xml:space="preserve"> to coordinate with the DOE with regard to the date of effectivity of the CSP is fundamentally anchored on the EPIRA which created the ERC </w:t>
      </w:r>
      <w:r w:rsidRPr="005F5F47">
        <w:rPr>
          <w:rFonts w:ascii="Times New Roman" w:eastAsia="Times New Roman" w:hAnsi="Times New Roman" w:cs="Times New Roman"/>
          <w:b/>
          <w:bCs/>
          <w:sz w:val="24"/>
          <w:szCs w:val="24"/>
          <w:u w:val="single"/>
          <w:lang w:eastAsia="en-SG"/>
        </w:rPr>
        <w:t xml:space="preserve">as a body </w:t>
      </w:r>
      <w:r w:rsidRPr="005F5F47">
        <w:rPr>
          <w:rFonts w:ascii="Times New Roman" w:eastAsia="Times New Roman" w:hAnsi="Times New Roman" w:cs="Times New Roman"/>
          <w:b/>
          <w:bCs/>
          <w:i/>
          <w:iCs/>
          <w:sz w:val="24"/>
          <w:szCs w:val="24"/>
          <w:u w:val="single"/>
          <w:lang w:eastAsia="en-SG"/>
        </w:rPr>
        <w:t>separate</w:t>
      </w:r>
      <w:r w:rsidRPr="005F5F47">
        <w:rPr>
          <w:rFonts w:ascii="Times New Roman" w:eastAsia="Times New Roman" w:hAnsi="Times New Roman" w:cs="Times New Roman"/>
          <w:b/>
          <w:bCs/>
          <w:sz w:val="24"/>
          <w:szCs w:val="24"/>
          <w:u w:val="single"/>
          <w:lang w:eastAsia="en-SG"/>
        </w:rPr>
        <w:t xml:space="preserve"> and </w:t>
      </w:r>
      <w:r w:rsidRPr="005F5F47">
        <w:rPr>
          <w:rFonts w:ascii="Times New Roman" w:eastAsia="Times New Roman" w:hAnsi="Times New Roman" w:cs="Times New Roman"/>
          <w:b/>
          <w:bCs/>
          <w:i/>
          <w:iCs/>
          <w:sz w:val="24"/>
          <w:szCs w:val="24"/>
          <w:u w:val="single"/>
          <w:lang w:eastAsia="en-SG"/>
        </w:rPr>
        <w:t>distinct</w:t>
      </w:r>
      <w:r w:rsidRPr="005F5F47">
        <w:rPr>
          <w:rFonts w:ascii="Times New Roman" w:eastAsia="Times New Roman" w:hAnsi="Times New Roman" w:cs="Times New Roman"/>
          <w:b/>
          <w:bCs/>
          <w:sz w:val="24"/>
          <w:szCs w:val="24"/>
          <w:u w:val="single"/>
          <w:lang w:eastAsia="en-SG"/>
        </w:rPr>
        <w:t xml:space="preserve"> from the DOE</w:t>
      </w:r>
      <w:r w:rsidRPr="005F5F47">
        <w:rPr>
          <w:rFonts w:ascii="Times New Roman" w:eastAsia="Times New Roman" w:hAnsi="Times New Roman" w:cs="Times New Roman"/>
          <w:sz w:val="24"/>
          <w:szCs w:val="24"/>
          <w:lang w:eastAsia="en-SG"/>
        </w:rPr>
        <w:t xml:space="preserve">. Again, at the risk of </w:t>
      </w:r>
      <w:proofErr w:type="spellStart"/>
      <w:r w:rsidRPr="005F5F47">
        <w:rPr>
          <w:rFonts w:ascii="Times New Roman" w:eastAsia="Times New Roman" w:hAnsi="Times New Roman" w:cs="Times New Roman"/>
          <w:sz w:val="24"/>
          <w:szCs w:val="24"/>
          <w:lang w:eastAsia="en-SG"/>
        </w:rPr>
        <w:t>belaboring</w:t>
      </w:r>
      <w:proofErr w:type="spellEnd"/>
      <w:r w:rsidRPr="005F5F47">
        <w:rPr>
          <w:rFonts w:ascii="Times New Roman" w:eastAsia="Times New Roman" w:hAnsi="Times New Roman" w:cs="Times New Roman"/>
          <w:sz w:val="24"/>
          <w:szCs w:val="24"/>
          <w:lang w:eastAsia="en-SG"/>
        </w:rPr>
        <w:t xml:space="preserve"> the point, even Joint Resolution No. 1 recognized the power of ERC to state and restate the effective date of the CSP through Resolution No. 13, and later on Resolution No. 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In sum, it is thus fundamentally erroneous to conclude that the ERC needed to coordinate with the DOE before issuing Resolutions Nos. 13 and 1 when:</w:t>
      </w:r>
    </w:p>
    <w:tbl>
      <w:tblPr>
        <w:tblW w:w="5000" w:type="pct"/>
        <w:tblCellSpacing w:w="0" w:type="dxa"/>
        <w:tblCellMar>
          <w:left w:w="0" w:type="dxa"/>
          <w:right w:w="0" w:type="dxa"/>
        </w:tblCellMar>
        <w:tblLook w:val="04A0" w:firstRow="1" w:lastRow="0" w:firstColumn="1" w:lastColumn="0" w:noHBand="0" w:noVBand="1"/>
      </w:tblPr>
      <w:tblGrid>
        <w:gridCol w:w="451"/>
        <w:gridCol w:w="8575"/>
      </w:tblGrid>
      <w:tr w:rsidR="005F5F47" w:rsidRPr="005F5F47" w:rsidTr="005F5F47">
        <w:trPr>
          <w:tblCellSpacing w:w="0" w:type="dxa"/>
        </w:trPr>
        <w:tc>
          <w:tcPr>
            <w:tcW w:w="2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(1)</w:t>
            </w:r>
          </w:p>
        </w:tc>
        <w:tc>
          <w:tcPr>
            <w:tcW w:w="47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The resolutions affect, and deal with, how DUs conduct their business, which is a domain that is within the sole and exclusive jurisdiction of the ERC; and</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(2) </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The ERC's power to issue them on its own was recognized by the Joint Resolution itself.</w:t>
            </w:r>
          </w:p>
        </w:tc>
      </w:tr>
    </w:tbl>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i/>
          <w:iCs/>
          <w:sz w:val="24"/>
          <w:szCs w:val="24"/>
          <w:lang w:eastAsia="en-SG"/>
        </w:rPr>
        <w:t>The grant of rule-making power necessarily includes the power to amend, revise, alter, or repeal the same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Further, in arguing that the ERC committed a grave abuse of discretion in restating the effectivity date of Resolution No. 13, petitioner, in effect, is saying that a body exercising quasi-legislative powers cannot suspend or revoke the rules and regulations it has itself promulgated once it has become effective. It is as if the rules and regulations issued by the ERC become </w:t>
      </w:r>
      <w:proofErr w:type="spellStart"/>
      <w:r w:rsidRPr="005F5F47">
        <w:rPr>
          <w:rFonts w:ascii="Times New Roman" w:eastAsia="Times New Roman" w:hAnsi="Times New Roman" w:cs="Times New Roman"/>
          <w:i/>
          <w:iCs/>
          <w:sz w:val="24"/>
          <w:szCs w:val="24"/>
          <w:lang w:eastAsia="en-SG"/>
        </w:rPr>
        <w:t>irrepealable</w:t>
      </w:r>
      <w:proofErr w:type="spellEnd"/>
      <w:r w:rsidRPr="005F5F47">
        <w:rPr>
          <w:rFonts w:ascii="Times New Roman" w:eastAsia="Times New Roman" w:hAnsi="Times New Roman" w:cs="Times New Roman"/>
          <w:sz w:val="24"/>
          <w:szCs w:val="24"/>
          <w:lang w:eastAsia="en-SG"/>
        </w:rPr>
        <w:t xml:space="preserve"> once issued. This lacks basis, and is undeniably absurd.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legislative power has been described generally as the power to make, alter, and repeal laws.</w:t>
      </w:r>
      <w:r w:rsidRPr="005F5F47">
        <w:rPr>
          <w:rFonts w:ascii="Times New Roman" w:eastAsia="Times New Roman" w:hAnsi="Times New Roman" w:cs="Times New Roman"/>
          <w:color w:val="FF0000"/>
          <w:sz w:val="24"/>
          <w:szCs w:val="24"/>
          <w:vertAlign w:val="superscript"/>
          <w:lang w:eastAsia="en-SG"/>
        </w:rPr>
        <w:t>[63]</w:t>
      </w:r>
      <w:r w:rsidRPr="005F5F47">
        <w:rPr>
          <w:rFonts w:ascii="Times New Roman" w:eastAsia="Times New Roman" w:hAnsi="Times New Roman" w:cs="Times New Roman"/>
          <w:sz w:val="24"/>
          <w:szCs w:val="24"/>
          <w:lang w:eastAsia="en-SG"/>
        </w:rPr>
        <w:t xml:space="preserve"> The authority to amend, change, or modify a law is thus part of such legislative </w:t>
      </w:r>
      <w:r w:rsidRPr="005F5F47">
        <w:rPr>
          <w:rFonts w:ascii="Times New Roman" w:eastAsia="Times New Roman" w:hAnsi="Times New Roman" w:cs="Times New Roman"/>
          <w:sz w:val="24"/>
          <w:szCs w:val="24"/>
          <w:lang w:eastAsia="en-SG"/>
        </w:rPr>
        <w:lastRenderedPageBreak/>
        <w:t>power.</w:t>
      </w:r>
      <w:r w:rsidRPr="005F5F47">
        <w:rPr>
          <w:rFonts w:ascii="Times New Roman" w:eastAsia="Times New Roman" w:hAnsi="Times New Roman" w:cs="Times New Roman"/>
          <w:color w:val="FF0000"/>
          <w:sz w:val="24"/>
          <w:szCs w:val="24"/>
          <w:vertAlign w:val="superscript"/>
          <w:lang w:eastAsia="en-SG"/>
        </w:rPr>
        <w:t>[64]</w:t>
      </w:r>
      <w:r w:rsidRPr="005F5F47">
        <w:rPr>
          <w:rFonts w:ascii="Times New Roman" w:eastAsia="Times New Roman" w:hAnsi="Times New Roman" w:cs="Times New Roman"/>
          <w:sz w:val="24"/>
          <w:szCs w:val="24"/>
          <w:lang w:eastAsia="en-SG"/>
        </w:rPr>
        <w:t xml:space="preserve"> It is the peculiar province of the legislature to prescribe general rules for the government of society.</w:t>
      </w:r>
      <w:r w:rsidRPr="005F5F47">
        <w:rPr>
          <w:rFonts w:ascii="Times New Roman" w:eastAsia="Times New Roman" w:hAnsi="Times New Roman" w:cs="Times New Roman"/>
          <w:color w:val="FF0000"/>
          <w:sz w:val="24"/>
          <w:szCs w:val="24"/>
          <w:vertAlign w:val="superscript"/>
          <w:lang w:eastAsia="en-SG"/>
        </w:rPr>
        <w:t>[65]</w:t>
      </w:r>
      <w:r w:rsidRPr="005F5F47">
        <w:rPr>
          <w:rFonts w:ascii="Times New Roman" w:eastAsia="Times New Roman" w:hAnsi="Times New Roman" w:cs="Times New Roman"/>
          <w:sz w:val="24"/>
          <w:szCs w:val="24"/>
          <w:lang w:eastAsia="en-SG"/>
        </w:rPr>
        <w:t xml:space="preserve"> However, the legislature cannot foresee every contingency involved in a particular problem that it seeks to address.</w:t>
      </w:r>
      <w:r w:rsidRPr="005F5F47">
        <w:rPr>
          <w:rFonts w:ascii="Times New Roman" w:eastAsia="Times New Roman" w:hAnsi="Times New Roman" w:cs="Times New Roman"/>
          <w:color w:val="FF0000"/>
          <w:sz w:val="24"/>
          <w:szCs w:val="24"/>
          <w:vertAlign w:val="superscript"/>
          <w:lang w:eastAsia="en-SG"/>
        </w:rPr>
        <w:t>[66]</w:t>
      </w:r>
      <w:r w:rsidRPr="005F5F47">
        <w:rPr>
          <w:rFonts w:ascii="Times New Roman" w:eastAsia="Times New Roman" w:hAnsi="Times New Roman" w:cs="Times New Roman"/>
          <w:sz w:val="24"/>
          <w:szCs w:val="24"/>
          <w:lang w:eastAsia="en-SG"/>
        </w:rPr>
        <w:t xml:space="preserve"> Thus, it has become customary for it to delegate to instrumentalities of the executive department, known as administrative agencies, the power to make rules and regulations.</w:t>
      </w:r>
      <w:r w:rsidRPr="005F5F47">
        <w:rPr>
          <w:rFonts w:ascii="Times New Roman" w:eastAsia="Times New Roman" w:hAnsi="Times New Roman" w:cs="Times New Roman"/>
          <w:color w:val="FF0000"/>
          <w:sz w:val="24"/>
          <w:szCs w:val="24"/>
          <w:vertAlign w:val="superscript"/>
          <w:lang w:eastAsia="en-SG"/>
        </w:rPr>
        <w:t>[67]</w:t>
      </w:r>
      <w:r w:rsidRPr="005F5F47">
        <w:rPr>
          <w:rFonts w:ascii="Times New Roman" w:eastAsia="Times New Roman" w:hAnsi="Times New Roman" w:cs="Times New Roman"/>
          <w:sz w:val="24"/>
          <w:szCs w:val="24"/>
          <w:lang w:eastAsia="en-SG"/>
        </w:rPr>
        <w:t xml:space="preserve"> This is because statutes are generally couched in general terms which express the policies, purposes, objectives, remedies and sanctions intended by the legislature.</w:t>
      </w:r>
      <w:r w:rsidRPr="005F5F47">
        <w:rPr>
          <w:rFonts w:ascii="Times New Roman" w:eastAsia="Times New Roman" w:hAnsi="Times New Roman" w:cs="Times New Roman"/>
          <w:color w:val="FF0000"/>
          <w:sz w:val="24"/>
          <w:szCs w:val="24"/>
          <w:vertAlign w:val="superscript"/>
          <w:lang w:eastAsia="en-SG"/>
        </w:rPr>
        <w:t>[68]</w:t>
      </w:r>
      <w:r w:rsidRPr="005F5F47">
        <w:rPr>
          <w:rFonts w:ascii="Times New Roman" w:eastAsia="Times New Roman" w:hAnsi="Times New Roman" w:cs="Times New Roman"/>
          <w:sz w:val="24"/>
          <w:szCs w:val="24"/>
          <w:lang w:eastAsia="en-SG"/>
        </w:rPr>
        <w:t xml:space="preserve"> The details and manner of carrying out the law are left to the administrative agency charged with its implementation.</w:t>
      </w:r>
      <w:r w:rsidRPr="005F5F47">
        <w:rPr>
          <w:rFonts w:ascii="Times New Roman" w:eastAsia="Times New Roman" w:hAnsi="Times New Roman" w:cs="Times New Roman"/>
          <w:color w:val="FF0000"/>
          <w:sz w:val="24"/>
          <w:szCs w:val="24"/>
          <w:vertAlign w:val="superscript"/>
          <w:lang w:eastAsia="en-SG"/>
        </w:rPr>
        <w:t>[69]</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If the Congress itself, which possesses plenary legislative powers, cannot pass </w:t>
      </w:r>
      <w:proofErr w:type="spellStart"/>
      <w:r w:rsidRPr="005F5F47">
        <w:rPr>
          <w:rFonts w:ascii="Times New Roman" w:eastAsia="Times New Roman" w:hAnsi="Times New Roman" w:cs="Times New Roman"/>
          <w:sz w:val="24"/>
          <w:szCs w:val="24"/>
          <w:lang w:eastAsia="en-SG"/>
        </w:rPr>
        <w:t>irrepealable</w:t>
      </w:r>
      <w:proofErr w:type="spellEnd"/>
      <w:r w:rsidRPr="005F5F47">
        <w:rPr>
          <w:rFonts w:ascii="Times New Roman" w:eastAsia="Times New Roman" w:hAnsi="Times New Roman" w:cs="Times New Roman"/>
          <w:sz w:val="24"/>
          <w:szCs w:val="24"/>
          <w:lang w:eastAsia="en-SG"/>
        </w:rPr>
        <w:t xml:space="preserve"> laws,</w:t>
      </w:r>
      <w:r w:rsidRPr="005F5F47">
        <w:rPr>
          <w:rFonts w:ascii="Times New Roman" w:eastAsia="Times New Roman" w:hAnsi="Times New Roman" w:cs="Times New Roman"/>
          <w:color w:val="FF0000"/>
          <w:sz w:val="24"/>
          <w:szCs w:val="24"/>
          <w:vertAlign w:val="superscript"/>
          <w:lang w:eastAsia="en-SG"/>
        </w:rPr>
        <w:t>[70]</w:t>
      </w:r>
      <w:r w:rsidRPr="005F5F47">
        <w:rPr>
          <w:rFonts w:ascii="Times New Roman" w:eastAsia="Times New Roman" w:hAnsi="Times New Roman" w:cs="Times New Roman"/>
          <w:sz w:val="24"/>
          <w:szCs w:val="24"/>
          <w:lang w:eastAsia="en-SG"/>
        </w:rPr>
        <w:t xml:space="preserve"> there is more reason </w:t>
      </w:r>
      <w:proofErr w:type="spellStart"/>
      <w:r w:rsidRPr="005F5F47">
        <w:rPr>
          <w:rFonts w:ascii="Times New Roman" w:eastAsia="Times New Roman" w:hAnsi="Times New Roman" w:cs="Times New Roman"/>
          <w:sz w:val="24"/>
          <w:szCs w:val="24"/>
          <w:lang w:eastAsia="en-SG"/>
        </w:rPr>
        <w:t>then</w:t>
      </w:r>
      <w:proofErr w:type="spellEnd"/>
      <w:r w:rsidRPr="005F5F47">
        <w:rPr>
          <w:rFonts w:ascii="Times New Roman" w:eastAsia="Times New Roman" w:hAnsi="Times New Roman" w:cs="Times New Roman"/>
          <w:sz w:val="24"/>
          <w:szCs w:val="24"/>
          <w:lang w:eastAsia="en-SG"/>
        </w:rPr>
        <w:t xml:space="preserve"> to hold that entities exercising delegated or quasi-legislative powers are also covered by the same proscription.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As earlier established, the ERC has the power to issue rules and regulations as regards the implementation of the CSP. Accordingly, following the doctrine of necessary implication, this grant of express power to formulate implementing rules and regulations must necessarily include the power to amend, revise, alter, or repeal the same.</w:t>
      </w:r>
      <w:r w:rsidRPr="005F5F47">
        <w:rPr>
          <w:rFonts w:ascii="Times New Roman" w:eastAsia="Times New Roman" w:hAnsi="Times New Roman" w:cs="Times New Roman"/>
          <w:color w:val="FF0000"/>
          <w:sz w:val="24"/>
          <w:szCs w:val="24"/>
          <w:vertAlign w:val="superscript"/>
          <w:lang w:eastAsia="en-SG"/>
        </w:rPr>
        <w:t>[71]</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sz w:val="24"/>
          <w:szCs w:val="24"/>
          <w:lang w:eastAsia="en-SG"/>
        </w:rPr>
        <w:t>This is to allow administrative agencies the needed flexibility in formulating and adjusting the details and manner by which they are to implement the provisions of a law, in order to make them more responsive to the times.</w:t>
      </w:r>
      <w:r w:rsidRPr="005F5F47">
        <w:rPr>
          <w:rFonts w:ascii="Times New Roman" w:eastAsia="Times New Roman" w:hAnsi="Times New Roman" w:cs="Times New Roman"/>
          <w:color w:val="FF0000"/>
          <w:sz w:val="24"/>
          <w:szCs w:val="24"/>
          <w:vertAlign w:val="superscript"/>
          <w:lang w:eastAsia="en-SG"/>
        </w:rPr>
        <w:t>[72]</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Therefore, the ERC, being vested with the power to promulgate rules and regulations concerning its mandate, is also necessarily vested with the power to amend, revise, alter or repeal the same. Thus, the creation of a transition period is within the powers of the ERC.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Given the foregoing discussion — that ERC had the power to issue Resolutions Nos. 13 and 1, and that this power is anchored on the EPIRA itself — then it cannot be said that the body acted with grave abuse of discretion amounting to lack or excess of jurisdiction. The ERC, as a body made up of its commissioners, thus issued the resolutions </w:t>
      </w:r>
      <w:r w:rsidRPr="005F5F47">
        <w:rPr>
          <w:rFonts w:ascii="Times New Roman" w:eastAsia="Times New Roman" w:hAnsi="Times New Roman" w:cs="Times New Roman"/>
          <w:i/>
          <w:iCs/>
          <w:sz w:val="24"/>
          <w:szCs w:val="24"/>
          <w:lang w:eastAsia="en-SG"/>
        </w:rPr>
        <w:t>in good faith</w:t>
      </w:r>
      <w:r w:rsidRPr="005F5F47">
        <w:rPr>
          <w:rFonts w:ascii="Times New Roman" w:eastAsia="Times New Roman" w:hAnsi="Times New Roman" w:cs="Times New Roman"/>
          <w:sz w:val="24"/>
          <w:szCs w:val="24"/>
          <w:lang w:eastAsia="en-SG"/>
        </w:rPr>
        <w:t>, or on the basis of its interpretation of the powers granted to it by the EPIRA.</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i/>
          <w:iCs/>
          <w:sz w:val="24"/>
          <w:szCs w:val="24"/>
          <w:lang w:eastAsia="en-SG"/>
        </w:rPr>
        <w:t>The restatement of the effectivity date of ERC Resolution No. 13 is reasonable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OSG asserts that the issuance of Resolution No. 1 was in the exercise of ERC's sound judgment as a regulator and pursuant to its mandate under the EPIRA to "protect the public interest as it is affected by the rates and services of electric utilities and other providers of electric power."</w:t>
      </w:r>
      <w:r w:rsidRPr="005F5F47">
        <w:rPr>
          <w:rFonts w:ascii="Times New Roman" w:eastAsia="Times New Roman" w:hAnsi="Times New Roman" w:cs="Times New Roman"/>
          <w:color w:val="FF0000"/>
          <w:sz w:val="24"/>
          <w:szCs w:val="24"/>
          <w:vertAlign w:val="superscript"/>
          <w:lang w:eastAsia="en-SG"/>
        </w:rPr>
        <w:t>[73]</w:t>
      </w:r>
      <w:r w:rsidRPr="005F5F47">
        <w:rPr>
          <w:rFonts w:ascii="Times New Roman" w:eastAsia="Times New Roman" w:hAnsi="Times New Roman" w:cs="Times New Roman"/>
          <w:sz w:val="24"/>
          <w:szCs w:val="24"/>
          <w:lang w:eastAsia="en-SG"/>
        </w:rPr>
        <w:t xml:space="preserve"> I agree.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And in the exercise of its regulatory powers, the ERC's restatement of the effectivity date of the CSP implementation cannot be anything but valid. </w:t>
      </w:r>
      <w:r w:rsidRPr="005F5F47">
        <w:rPr>
          <w:rFonts w:ascii="Times New Roman" w:eastAsia="Times New Roman" w:hAnsi="Times New Roman" w:cs="Times New Roman"/>
          <w:b/>
          <w:bCs/>
          <w:i/>
          <w:iCs/>
          <w:sz w:val="24"/>
          <w:szCs w:val="24"/>
          <w:lang w:eastAsia="en-SG"/>
        </w:rPr>
        <w:t>The creation of the transition period was done in good faith and was neither whimsical nor capricious — it was prompted by the ERC's receipt of numerous letters from stakeholders posing various concerns.</w:t>
      </w:r>
      <w:r w:rsidRPr="005F5F47">
        <w:rPr>
          <w:rFonts w:ascii="Times New Roman" w:eastAsia="Times New Roman" w:hAnsi="Times New Roman" w:cs="Times New Roman"/>
          <w:sz w:val="24"/>
          <w:szCs w:val="24"/>
          <w:lang w:eastAsia="en-SG"/>
        </w:rPr>
        <w:t xml:space="preserve"> Excerpts of some of these letters are as follows:</w:t>
      </w:r>
    </w:p>
    <w:p w:rsidR="005F5F47" w:rsidRPr="005F5F47" w:rsidRDefault="005F5F47" w:rsidP="005F5F47">
      <w:pPr>
        <w:numPr>
          <w:ilvl w:val="0"/>
          <w:numId w:val="6"/>
        </w:numPr>
        <w:spacing w:before="100" w:beforeAutospacing="1" w:after="100" w:afterAutospacing="1"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i/>
          <w:iCs/>
          <w:sz w:val="24"/>
          <w:szCs w:val="24"/>
          <w:lang w:eastAsia="en-SG"/>
        </w:rPr>
        <w:t>November 25, 2015 letter</w:t>
      </w:r>
      <w:r w:rsidRPr="005F5F47">
        <w:rPr>
          <w:rFonts w:ascii="Times New Roman" w:eastAsia="Times New Roman" w:hAnsi="Times New Roman" w:cs="Times New Roman"/>
          <w:color w:val="FF0000"/>
          <w:sz w:val="24"/>
          <w:szCs w:val="24"/>
          <w:vertAlign w:val="superscript"/>
          <w:lang w:eastAsia="en-SG"/>
        </w:rPr>
        <w:t>[74]</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 xml:space="preserve">of SMC Global Power, </w:t>
      </w:r>
      <w:r w:rsidRPr="005F5F47">
        <w:rPr>
          <w:rFonts w:ascii="Times New Roman" w:eastAsia="Times New Roman" w:hAnsi="Times New Roman" w:cs="Times New Roman"/>
          <w:b/>
          <w:bCs/>
          <w:i/>
          <w:iCs/>
          <w:sz w:val="24"/>
          <w:szCs w:val="24"/>
          <w:lang w:eastAsia="en-SG"/>
        </w:rPr>
        <w:t>which requests that it be allowed to file its PSCs because the requirements imposed pursuant to the CSP implementation were non-existent when its PSCs were evaluated and signed</w:t>
      </w:r>
      <w:r w:rsidRPr="005F5F47">
        <w:rPr>
          <w:rFonts w:ascii="Times New Roman" w:eastAsia="Times New Roman" w:hAnsi="Times New Roman" w:cs="Times New Roman"/>
          <w:sz w:val="24"/>
          <w:szCs w:val="24"/>
          <w:lang w:eastAsia="en-SG"/>
        </w:rPr>
        <w:t>:</w:t>
      </w:r>
    </w:p>
    <w:p w:rsidR="005F5F47" w:rsidRPr="005F5F47" w:rsidRDefault="005F5F47" w:rsidP="005F5F47">
      <w:pPr>
        <w:spacing w:beforeAutospacing="1" w:after="100" w:afterAutospacing="1" w:line="240" w:lineRule="auto"/>
        <w:ind w:left="1440"/>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Upon filing with the ERC, however, our counter-part counsel for the DUs and ECs (</w:t>
      </w:r>
      <w:proofErr w:type="spellStart"/>
      <w:r w:rsidRPr="005F5F47">
        <w:rPr>
          <w:rFonts w:ascii="Times New Roman" w:eastAsia="Times New Roman" w:hAnsi="Times New Roman" w:cs="Times New Roman"/>
          <w:sz w:val="24"/>
          <w:szCs w:val="24"/>
          <w:lang w:eastAsia="en-SG"/>
        </w:rPr>
        <w:t>Dechavez</w:t>
      </w:r>
      <w:proofErr w:type="spellEnd"/>
      <w:r w:rsidRPr="005F5F47">
        <w:rPr>
          <w:rFonts w:ascii="Times New Roman" w:eastAsia="Times New Roman" w:hAnsi="Times New Roman" w:cs="Times New Roman"/>
          <w:sz w:val="24"/>
          <w:szCs w:val="24"/>
          <w:lang w:eastAsia="en-SG"/>
        </w:rPr>
        <w:t xml:space="preserve"> &amp; Evangelista Law Offices) informed us that even at the pre-</w:t>
      </w:r>
      <w:r w:rsidRPr="005F5F47">
        <w:rPr>
          <w:rFonts w:ascii="Times New Roman" w:eastAsia="Times New Roman" w:hAnsi="Times New Roman" w:cs="Times New Roman"/>
          <w:sz w:val="24"/>
          <w:szCs w:val="24"/>
          <w:lang w:eastAsia="en-SG"/>
        </w:rPr>
        <w:lastRenderedPageBreak/>
        <w:t>filing stage, the ERC rejects applications which do not include the following: DUs/ECs Invitation to Participate and Submit Proposal, DUs/ECs' Terms of Reference, Proposals Received by the DU/EC, tender offers, DU/ECs Special Bids and Awards Committees (SBAC) Evaluation Report, DU Board Resolution confirming the approval of the SBAC Evaluation report and Notice of Award issued by the DU/EC.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It is significant to note that all of these requirements, even the creation of the SBAC, were non-existent when our PSCs were evaluated and signed.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proofErr w:type="gramStart"/>
      <w:r w:rsidRPr="005F5F47">
        <w:rPr>
          <w:rFonts w:ascii="Times New Roman" w:eastAsia="Times New Roman" w:hAnsi="Times New Roman" w:cs="Times New Roman"/>
          <w:sz w:val="24"/>
          <w:szCs w:val="24"/>
          <w:lang w:eastAsia="en-SG"/>
        </w:rPr>
        <w:t>To</w:t>
      </w:r>
      <w:proofErr w:type="gramEnd"/>
      <w:r w:rsidRPr="005F5F47">
        <w:rPr>
          <w:rFonts w:ascii="Times New Roman" w:eastAsia="Times New Roman" w:hAnsi="Times New Roman" w:cs="Times New Roman"/>
          <w:sz w:val="24"/>
          <w:szCs w:val="24"/>
          <w:lang w:eastAsia="en-SG"/>
        </w:rPr>
        <w:t xml:space="preserve"> this end, we respectfully request the consideration of the </w:t>
      </w:r>
      <w:proofErr w:type="spellStart"/>
      <w:r w:rsidRPr="005F5F47">
        <w:rPr>
          <w:rFonts w:ascii="Times New Roman" w:eastAsia="Times New Roman" w:hAnsi="Times New Roman" w:cs="Times New Roman"/>
          <w:sz w:val="24"/>
          <w:szCs w:val="24"/>
          <w:lang w:eastAsia="en-SG"/>
        </w:rPr>
        <w:t>Honorable</w:t>
      </w:r>
      <w:proofErr w:type="spellEnd"/>
      <w:r w:rsidRPr="005F5F47">
        <w:rPr>
          <w:rFonts w:ascii="Times New Roman" w:eastAsia="Times New Roman" w:hAnsi="Times New Roman" w:cs="Times New Roman"/>
          <w:sz w:val="24"/>
          <w:szCs w:val="24"/>
          <w:lang w:eastAsia="en-SG"/>
        </w:rPr>
        <w:t xml:space="preserve"> Commission to allow us to file, and for the Commission to accept, the applications for approval of the subject PSCs. In our case, mere filing is critical for us to achieve financial close for purposes of funding our power plant project.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filing of the application will enable us to continue financing the </w:t>
      </w:r>
      <w:proofErr w:type="spellStart"/>
      <w:r w:rsidRPr="005F5F47">
        <w:rPr>
          <w:rFonts w:ascii="Times New Roman" w:eastAsia="Times New Roman" w:hAnsi="Times New Roman" w:cs="Times New Roman"/>
          <w:sz w:val="24"/>
          <w:szCs w:val="24"/>
          <w:lang w:eastAsia="en-SG"/>
        </w:rPr>
        <w:t>Limay</w:t>
      </w:r>
      <w:proofErr w:type="spellEnd"/>
      <w:r w:rsidRPr="005F5F47">
        <w:rPr>
          <w:rFonts w:ascii="Times New Roman" w:eastAsia="Times New Roman" w:hAnsi="Times New Roman" w:cs="Times New Roman"/>
          <w:sz w:val="24"/>
          <w:szCs w:val="24"/>
          <w:lang w:eastAsia="en-SG"/>
        </w:rPr>
        <w:t xml:space="preserve"> Phase 1 Project, </w:t>
      </w:r>
      <w:proofErr w:type="spellStart"/>
      <w:r w:rsidRPr="005F5F47">
        <w:rPr>
          <w:rFonts w:ascii="Times New Roman" w:eastAsia="Times New Roman" w:hAnsi="Times New Roman" w:cs="Times New Roman"/>
          <w:sz w:val="24"/>
          <w:szCs w:val="24"/>
          <w:lang w:eastAsia="en-SG"/>
        </w:rPr>
        <w:t>Malita</w:t>
      </w:r>
      <w:proofErr w:type="spellEnd"/>
      <w:r w:rsidRPr="005F5F47">
        <w:rPr>
          <w:rFonts w:ascii="Times New Roman" w:eastAsia="Times New Roman" w:hAnsi="Times New Roman" w:cs="Times New Roman"/>
          <w:sz w:val="24"/>
          <w:szCs w:val="24"/>
          <w:lang w:eastAsia="en-SG"/>
        </w:rPr>
        <w:t xml:space="preserve"> Project and proceed with </w:t>
      </w:r>
      <w:proofErr w:type="spellStart"/>
      <w:r w:rsidRPr="005F5F47">
        <w:rPr>
          <w:rFonts w:ascii="Times New Roman" w:eastAsia="Times New Roman" w:hAnsi="Times New Roman" w:cs="Times New Roman"/>
          <w:sz w:val="24"/>
          <w:szCs w:val="24"/>
          <w:lang w:eastAsia="en-SG"/>
        </w:rPr>
        <w:t>Limay</w:t>
      </w:r>
      <w:proofErr w:type="spellEnd"/>
      <w:r w:rsidRPr="005F5F47">
        <w:rPr>
          <w:rFonts w:ascii="Times New Roman" w:eastAsia="Times New Roman" w:hAnsi="Times New Roman" w:cs="Times New Roman"/>
          <w:sz w:val="24"/>
          <w:szCs w:val="24"/>
          <w:lang w:eastAsia="en-SG"/>
        </w:rPr>
        <w:t xml:space="preserve"> Phase 2 Project to augment the capacity in the Luzon and Mindanao Grids and prevent the projected shortage in 2017</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75]</w:t>
      </w:r>
    </w:p>
    <w:p w:rsidR="005F5F47" w:rsidRPr="005F5F47" w:rsidRDefault="005F5F47" w:rsidP="005F5F47">
      <w:pPr>
        <w:numPr>
          <w:ilvl w:val="0"/>
          <w:numId w:val="6"/>
        </w:numPr>
        <w:spacing w:before="100" w:beforeAutospacing="1" w:after="100" w:afterAutospacing="1"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i/>
          <w:iCs/>
          <w:sz w:val="24"/>
          <w:szCs w:val="24"/>
          <w:lang w:eastAsia="en-SG"/>
        </w:rPr>
        <w:t>December 1, 2015 letter</w:t>
      </w:r>
      <w:r w:rsidRPr="005F5F47">
        <w:rPr>
          <w:rFonts w:ascii="Times New Roman" w:eastAsia="Times New Roman" w:hAnsi="Times New Roman" w:cs="Times New Roman"/>
          <w:color w:val="FF0000"/>
          <w:sz w:val="24"/>
          <w:szCs w:val="24"/>
          <w:vertAlign w:val="superscript"/>
          <w:lang w:eastAsia="en-SG"/>
        </w:rPr>
        <w:t>[76]</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 xml:space="preserve">of Philippine Rural Electric Cooperative Association, Inc. (PHILRECA), </w:t>
      </w:r>
      <w:r w:rsidRPr="005F5F47">
        <w:rPr>
          <w:rFonts w:ascii="Times New Roman" w:eastAsia="Times New Roman" w:hAnsi="Times New Roman" w:cs="Times New Roman"/>
          <w:b/>
          <w:bCs/>
          <w:i/>
          <w:iCs/>
          <w:sz w:val="24"/>
          <w:szCs w:val="24"/>
          <w:lang w:eastAsia="en-SG"/>
        </w:rPr>
        <w:t>which requests for exemption from coverage of DOE Circular</w:t>
      </w:r>
      <w:r w:rsidRPr="005F5F47">
        <w:rPr>
          <w:rFonts w:ascii="Times New Roman" w:eastAsia="Times New Roman" w:hAnsi="Times New Roman" w:cs="Times New Roman"/>
          <w:sz w:val="24"/>
          <w:szCs w:val="24"/>
          <w:lang w:eastAsia="en-SG"/>
        </w:rPr>
        <w:t>:</w:t>
      </w:r>
    </w:p>
    <w:p w:rsidR="005F5F47" w:rsidRPr="005F5F47" w:rsidRDefault="005F5F47" w:rsidP="005F5F47">
      <w:pPr>
        <w:spacing w:beforeAutospacing="1" w:after="100" w:afterAutospacing="1" w:line="240" w:lineRule="auto"/>
        <w:ind w:left="1440"/>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May we respectfully furnish you a copy of the PHILRECA Board Resolution No. 10-23-2015 "Resolution Requesting the Department of Energy (DOE) and the Energy Regulatory Commission (ERC) to exempt the Southern Philippines Power Corporation (SPPC) and Western Mindanao Power Corporation (WMPC) from the coverage of Department Circular </w:t>
      </w:r>
      <w:proofErr w:type="gramStart"/>
      <w:r w:rsidRPr="005F5F47">
        <w:rPr>
          <w:rFonts w:ascii="Times New Roman" w:eastAsia="Times New Roman" w:hAnsi="Times New Roman" w:cs="Times New Roman"/>
          <w:sz w:val="24"/>
          <w:szCs w:val="24"/>
          <w:lang w:eastAsia="en-SG"/>
        </w:rPr>
        <w:t>No.</w:t>
      </w:r>
      <w:proofErr w:type="gramEnd"/>
      <w:r w:rsidRPr="005F5F47">
        <w:rPr>
          <w:rFonts w:ascii="Times New Roman" w:eastAsia="Times New Roman" w:hAnsi="Times New Roman" w:cs="Times New Roman"/>
          <w:sz w:val="24"/>
          <w:szCs w:val="24"/>
          <w:lang w:eastAsia="en-SG"/>
        </w:rPr>
        <w:t xml:space="preserve"> DC2015-06-0008"</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77]</w:t>
      </w:r>
    </w:p>
    <w:p w:rsidR="005F5F47" w:rsidRPr="005F5F47" w:rsidRDefault="005F5F47" w:rsidP="005F5F47">
      <w:pPr>
        <w:numPr>
          <w:ilvl w:val="0"/>
          <w:numId w:val="6"/>
        </w:numPr>
        <w:spacing w:before="100" w:beforeAutospacing="1" w:after="100" w:afterAutospacing="1"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i/>
          <w:iCs/>
          <w:sz w:val="24"/>
          <w:szCs w:val="24"/>
          <w:lang w:eastAsia="en-SG"/>
        </w:rPr>
        <w:t>December 10, 2015 letter</w:t>
      </w:r>
      <w:r w:rsidRPr="005F5F47">
        <w:rPr>
          <w:rFonts w:ascii="Times New Roman" w:eastAsia="Times New Roman" w:hAnsi="Times New Roman" w:cs="Times New Roman"/>
          <w:color w:val="FF0000"/>
          <w:sz w:val="24"/>
          <w:szCs w:val="24"/>
          <w:vertAlign w:val="superscript"/>
          <w:lang w:eastAsia="en-SG"/>
        </w:rPr>
        <w:t>[78]</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 xml:space="preserve">of </w:t>
      </w:r>
      <w:proofErr w:type="spellStart"/>
      <w:r w:rsidRPr="005F5F47">
        <w:rPr>
          <w:rFonts w:ascii="Times New Roman" w:eastAsia="Times New Roman" w:hAnsi="Times New Roman" w:cs="Times New Roman"/>
          <w:i/>
          <w:iCs/>
          <w:sz w:val="24"/>
          <w:szCs w:val="24"/>
          <w:lang w:eastAsia="en-SG"/>
        </w:rPr>
        <w:t>Agusan</w:t>
      </w:r>
      <w:proofErr w:type="spellEnd"/>
      <w:r w:rsidRPr="005F5F47">
        <w:rPr>
          <w:rFonts w:ascii="Times New Roman" w:eastAsia="Times New Roman" w:hAnsi="Times New Roman" w:cs="Times New Roman"/>
          <w:i/>
          <w:iCs/>
          <w:sz w:val="24"/>
          <w:szCs w:val="24"/>
          <w:lang w:eastAsia="en-SG"/>
        </w:rPr>
        <w:t xml:space="preserve"> del </w:t>
      </w:r>
      <w:proofErr w:type="spellStart"/>
      <w:r w:rsidRPr="005F5F47">
        <w:rPr>
          <w:rFonts w:ascii="Times New Roman" w:eastAsia="Times New Roman" w:hAnsi="Times New Roman" w:cs="Times New Roman"/>
          <w:i/>
          <w:iCs/>
          <w:sz w:val="24"/>
          <w:szCs w:val="24"/>
          <w:lang w:eastAsia="en-SG"/>
        </w:rPr>
        <w:t>Norte</w:t>
      </w:r>
      <w:proofErr w:type="spellEnd"/>
      <w:r w:rsidRPr="005F5F47">
        <w:rPr>
          <w:rFonts w:ascii="Times New Roman" w:eastAsia="Times New Roman" w:hAnsi="Times New Roman" w:cs="Times New Roman"/>
          <w:i/>
          <w:iCs/>
          <w:sz w:val="24"/>
          <w:szCs w:val="24"/>
          <w:lang w:eastAsia="en-SG"/>
        </w:rPr>
        <w:t xml:space="preserve"> Electric Cooperative, Inc. (ANECO), </w:t>
      </w:r>
      <w:r w:rsidRPr="005F5F47">
        <w:rPr>
          <w:rFonts w:ascii="Times New Roman" w:eastAsia="Times New Roman" w:hAnsi="Times New Roman" w:cs="Times New Roman"/>
          <w:b/>
          <w:bCs/>
          <w:i/>
          <w:iCs/>
          <w:sz w:val="24"/>
          <w:szCs w:val="24"/>
          <w:lang w:eastAsia="en-SG"/>
        </w:rPr>
        <w:t>which requests confirmation that any extension of PSAs (or ESAs) previously approved is outside the scope of Resolution No. 13</w:t>
      </w:r>
      <w:r w:rsidRPr="005F5F47">
        <w:rPr>
          <w:rFonts w:ascii="Times New Roman" w:eastAsia="Times New Roman" w:hAnsi="Times New Roman" w:cs="Times New Roman"/>
          <w:sz w:val="24"/>
          <w:szCs w:val="24"/>
          <w:lang w:eastAsia="en-SG"/>
        </w:rPr>
        <w:t>:</w:t>
      </w:r>
    </w:p>
    <w:p w:rsidR="005F5F47" w:rsidRPr="005F5F47" w:rsidRDefault="005F5F47" w:rsidP="005F5F47">
      <w:pPr>
        <w:spacing w:beforeAutospacing="1" w:after="100" w:afterAutospacing="1" w:line="240" w:lineRule="auto"/>
        <w:ind w:left="1440"/>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The ESA, as amended and supplemented, will expire on 25 June 2016. Given the power shortage in Mindanao, the insufficiency of the NPC/PSALM supply, taken together with the continuing demand growth of our end-users, we wish to exercise the option provided under the Amendment to the ESA to extend the Term of our Amended and Supplemented ESA with TMI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Relating this provision to </w:t>
      </w:r>
      <w:proofErr w:type="spellStart"/>
      <w:r w:rsidRPr="005F5F47">
        <w:rPr>
          <w:rFonts w:ascii="Times New Roman" w:eastAsia="Times New Roman" w:hAnsi="Times New Roman" w:cs="Times New Roman"/>
          <w:sz w:val="24"/>
          <w:szCs w:val="24"/>
          <w:lang w:eastAsia="en-SG"/>
        </w:rPr>
        <w:t>Reso</w:t>
      </w:r>
      <w:proofErr w:type="spellEnd"/>
      <w:r w:rsidRPr="005F5F47">
        <w:rPr>
          <w:rFonts w:ascii="Times New Roman" w:eastAsia="Times New Roman" w:hAnsi="Times New Roman" w:cs="Times New Roman"/>
          <w:sz w:val="24"/>
          <w:szCs w:val="24"/>
          <w:lang w:eastAsia="en-SG"/>
        </w:rPr>
        <w:t xml:space="preserve"> 13, we are of the impression that </w:t>
      </w:r>
      <w:proofErr w:type="spellStart"/>
      <w:r w:rsidRPr="005F5F47">
        <w:rPr>
          <w:rFonts w:ascii="Times New Roman" w:eastAsia="Times New Roman" w:hAnsi="Times New Roman" w:cs="Times New Roman"/>
          <w:sz w:val="24"/>
          <w:szCs w:val="24"/>
          <w:lang w:eastAsia="en-SG"/>
        </w:rPr>
        <w:t>Reso</w:t>
      </w:r>
      <w:proofErr w:type="spellEnd"/>
      <w:r w:rsidRPr="005F5F47">
        <w:rPr>
          <w:rFonts w:ascii="Times New Roman" w:eastAsia="Times New Roman" w:hAnsi="Times New Roman" w:cs="Times New Roman"/>
          <w:sz w:val="24"/>
          <w:szCs w:val="24"/>
          <w:lang w:eastAsia="en-SG"/>
        </w:rPr>
        <w:t xml:space="preserve"> 13 may not be strictly applied to ESA extensions, especially considering that the </w:t>
      </w:r>
      <w:proofErr w:type="spellStart"/>
      <w:r w:rsidRPr="005F5F47">
        <w:rPr>
          <w:rFonts w:ascii="Times New Roman" w:eastAsia="Times New Roman" w:hAnsi="Times New Roman" w:cs="Times New Roman"/>
          <w:sz w:val="24"/>
          <w:szCs w:val="24"/>
          <w:lang w:eastAsia="en-SG"/>
        </w:rPr>
        <w:t>Honorable</w:t>
      </w:r>
      <w:proofErr w:type="spellEnd"/>
      <w:r w:rsidRPr="005F5F47">
        <w:rPr>
          <w:rFonts w:ascii="Times New Roman" w:eastAsia="Times New Roman" w:hAnsi="Times New Roman" w:cs="Times New Roman"/>
          <w:sz w:val="24"/>
          <w:szCs w:val="24"/>
          <w:lang w:eastAsia="en-SG"/>
        </w:rPr>
        <w:t xml:space="preserve"> Commission has already meticulously scrutinized and approved TMI's Fixed O&amp;M, Energy and Fuel Fees, as well as its asset base in determining the Capital Recovery Fee.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Since Section 4 of the Resolution states that the CSP requirement shall not </w:t>
      </w:r>
      <w:r w:rsidRPr="005F5F47">
        <w:rPr>
          <w:rFonts w:ascii="Times New Roman" w:eastAsia="Times New Roman" w:hAnsi="Times New Roman" w:cs="Times New Roman"/>
          <w:sz w:val="24"/>
          <w:szCs w:val="24"/>
          <w:lang w:eastAsia="en-SG"/>
        </w:rPr>
        <w:lastRenderedPageBreak/>
        <w:t xml:space="preserve">apply to PSAs (or ESAs) already filed with the ERC, we are of the understanding that an extension of an existing ESA, which is part of the provisions submitted to and has been approved by the ERC, albeit provisionally, is outside the coverage of the present Resolution. Hence, we intend to enter into an extension of our existing ESA with TMI, applying the same methodology and asset base as approved by the </w:t>
      </w:r>
      <w:proofErr w:type="spellStart"/>
      <w:r w:rsidRPr="005F5F47">
        <w:rPr>
          <w:rFonts w:ascii="Times New Roman" w:eastAsia="Times New Roman" w:hAnsi="Times New Roman" w:cs="Times New Roman"/>
          <w:sz w:val="24"/>
          <w:szCs w:val="24"/>
          <w:lang w:eastAsia="en-SG"/>
        </w:rPr>
        <w:t>Honorable</w:t>
      </w:r>
      <w:proofErr w:type="spellEnd"/>
      <w:r w:rsidRPr="005F5F47">
        <w:rPr>
          <w:rFonts w:ascii="Times New Roman" w:eastAsia="Times New Roman" w:hAnsi="Times New Roman" w:cs="Times New Roman"/>
          <w:sz w:val="24"/>
          <w:szCs w:val="24"/>
          <w:lang w:eastAsia="en-SG"/>
        </w:rPr>
        <w:t xml:space="preserve"> Commission in arriving at the rates.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gramStart"/>
      <w:r w:rsidRPr="005F5F47">
        <w:rPr>
          <w:rFonts w:ascii="Times New Roman" w:eastAsia="Times New Roman" w:hAnsi="Times New Roman" w:cs="Times New Roman"/>
          <w:sz w:val="24"/>
          <w:szCs w:val="24"/>
          <w:lang w:eastAsia="en-SG"/>
        </w:rPr>
        <w:t>x</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79]</w:t>
      </w:r>
    </w:p>
    <w:p w:rsidR="005F5F47" w:rsidRPr="005F5F47" w:rsidRDefault="005F5F47" w:rsidP="005F5F47">
      <w:pPr>
        <w:numPr>
          <w:ilvl w:val="0"/>
          <w:numId w:val="6"/>
        </w:numPr>
        <w:spacing w:before="100" w:beforeAutospacing="1" w:after="100" w:afterAutospacing="1"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i/>
          <w:iCs/>
          <w:sz w:val="24"/>
          <w:szCs w:val="24"/>
          <w:lang w:eastAsia="en-SG"/>
        </w:rPr>
        <w:t>December 14, 2015 letter</w:t>
      </w:r>
      <w:r w:rsidRPr="005F5F47">
        <w:rPr>
          <w:rFonts w:ascii="Times New Roman" w:eastAsia="Times New Roman" w:hAnsi="Times New Roman" w:cs="Times New Roman"/>
          <w:color w:val="FF0000"/>
          <w:sz w:val="24"/>
          <w:szCs w:val="24"/>
          <w:vertAlign w:val="superscript"/>
          <w:lang w:eastAsia="en-SG"/>
        </w:rPr>
        <w:t>[80]</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 xml:space="preserve">of SMC Global Power, </w:t>
      </w:r>
      <w:r w:rsidRPr="005F5F47">
        <w:rPr>
          <w:rFonts w:ascii="Times New Roman" w:eastAsia="Times New Roman" w:hAnsi="Times New Roman" w:cs="Times New Roman"/>
          <w:b/>
          <w:bCs/>
          <w:i/>
          <w:iCs/>
          <w:sz w:val="24"/>
          <w:szCs w:val="24"/>
          <w:lang w:eastAsia="en-SG"/>
        </w:rPr>
        <w:t>which seeks acceptance and approval of PSCs that were signed prior to the issuance of Resolution No. 13</w:t>
      </w:r>
      <w:r w:rsidRPr="005F5F47">
        <w:rPr>
          <w:rFonts w:ascii="Times New Roman" w:eastAsia="Times New Roman" w:hAnsi="Times New Roman" w:cs="Times New Roman"/>
          <w:sz w:val="24"/>
          <w:szCs w:val="24"/>
          <w:lang w:eastAsia="en-SG"/>
        </w:rPr>
        <w:t>:</w:t>
      </w:r>
    </w:p>
    <w:p w:rsidR="005F5F47" w:rsidRPr="005F5F47" w:rsidRDefault="005F5F47" w:rsidP="005F5F47">
      <w:pPr>
        <w:spacing w:beforeAutospacing="1" w:after="100" w:afterAutospacing="1" w:line="240" w:lineRule="auto"/>
        <w:ind w:left="1440"/>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Further to our letter dated November 25, 2015, we would like to reiterate our request to the </w:t>
      </w:r>
      <w:proofErr w:type="spellStart"/>
      <w:r w:rsidRPr="005F5F47">
        <w:rPr>
          <w:rFonts w:ascii="Times New Roman" w:eastAsia="Times New Roman" w:hAnsi="Times New Roman" w:cs="Times New Roman"/>
          <w:sz w:val="24"/>
          <w:szCs w:val="24"/>
          <w:lang w:eastAsia="en-SG"/>
        </w:rPr>
        <w:t>Honorable</w:t>
      </w:r>
      <w:proofErr w:type="spellEnd"/>
      <w:r w:rsidRPr="005F5F47">
        <w:rPr>
          <w:rFonts w:ascii="Times New Roman" w:eastAsia="Times New Roman" w:hAnsi="Times New Roman" w:cs="Times New Roman"/>
          <w:sz w:val="24"/>
          <w:szCs w:val="24"/>
          <w:lang w:eastAsia="en-SG"/>
        </w:rPr>
        <w:t xml:space="preserve"> Commission </w:t>
      </w:r>
      <w:proofErr w:type="spellStart"/>
      <w:r w:rsidRPr="005F5F47">
        <w:rPr>
          <w:rFonts w:ascii="Times New Roman" w:eastAsia="Times New Roman" w:hAnsi="Times New Roman" w:cs="Times New Roman"/>
          <w:i/>
          <w:iCs/>
          <w:sz w:val="24"/>
          <w:szCs w:val="24"/>
          <w:lang w:eastAsia="en-SG"/>
        </w:rPr>
        <w:t>En</w:t>
      </w:r>
      <w:proofErr w:type="spellEnd"/>
      <w:r w:rsidRPr="005F5F47">
        <w:rPr>
          <w:rFonts w:ascii="Times New Roman" w:eastAsia="Times New Roman" w:hAnsi="Times New Roman" w:cs="Times New Roman"/>
          <w:i/>
          <w:iCs/>
          <w:sz w:val="24"/>
          <w:szCs w:val="24"/>
          <w:lang w:eastAsia="en-SG"/>
        </w:rPr>
        <w:t xml:space="preserve"> Banc</w:t>
      </w:r>
      <w:r w:rsidRPr="005F5F47">
        <w:rPr>
          <w:rFonts w:ascii="Times New Roman" w:eastAsia="Times New Roman" w:hAnsi="Times New Roman" w:cs="Times New Roman"/>
          <w:sz w:val="24"/>
          <w:szCs w:val="24"/>
          <w:lang w:eastAsia="en-SG"/>
        </w:rPr>
        <w:t xml:space="preserve"> to accept and allow the filing of Power Supply Contracts (PSC) already signed </w:t>
      </w:r>
      <w:r w:rsidRPr="005F5F47">
        <w:rPr>
          <w:rFonts w:ascii="Times New Roman" w:eastAsia="Times New Roman" w:hAnsi="Times New Roman" w:cs="Times New Roman"/>
          <w:b/>
          <w:bCs/>
          <w:i/>
          <w:iCs/>
          <w:sz w:val="24"/>
          <w:szCs w:val="24"/>
          <w:u w:val="single"/>
          <w:lang w:eastAsia="en-SG"/>
        </w:rPr>
        <w:t>prior</w:t>
      </w:r>
      <w:r w:rsidRPr="005F5F47">
        <w:rPr>
          <w:rFonts w:ascii="Times New Roman" w:eastAsia="Times New Roman" w:hAnsi="Times New Roman" w:cs="Times New Roman"/>
          <w:sz w:val="24"/>
          <w:szCs w:val="24"/>
          <w:lang w:eastAsia="en-SG"/>
        </w:rPr>
        <w:t xml:space="preserve"> to its issuance Resolution No. 13, Series of 2015 "A Resolution Directing All Distribution Utilities (DUs) to Conduct Competitive Selection Process (CSP) in the Procurement of Their Supply to the Captive Market."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We wish to stress that in the event the subject PSCs cannot be filed, the </w:t>
      </w:r>
      <w:proofErr w:type="spellStart"/>
      <w:r w:rsidRPr="005F5F47">
        <w:rPr>
          <w:rFonts w:ascii="Times New Roman" w:eastAsia="Times New Roman" w:hAnsi="Times New Roman" w:cs="Times New Roman"/>
          <w:sz w:val="24"/>
          <w:szCs w:val="24"/>
          <w:lang w:eastAsia="en-SG"/>
        </w:rPr>
        <w:t>Honorable</w:t>
      </w:r>
      <w:proofErr w:type="spellEnd"/>
      <w:r w:rsidRPr="005F5F47">
        <w:rPr>
          <w:rFonts w:ascii="Times New Roman" w:eastAsia="Times New Roman" w:hAnsi="Times New Roman" w:cs="Times New Roman"/>
          <w:sz w:val="24"/>
          <w:szCs w:val="24"/>
          <w:lang w:eastAsia="en-SG"/>
        </w:rPr>
        <w:t xml:space="preserve"> Commission would effectively invalidate the same to the detriment of the contracting parties and the industry. It is significant to note that the Distribution Utilities (DU) and Electric Cooperatives (EC) have carefully evaluated and considered the most advantageous terms and conditions for its consumers prior to signing the subject PSCs.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Meanwhile, another round of CSP may likely alter the terms of the contract that could prove to be disadvantageous to the DU or EC.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Considering the execution of the PSCs and the stage of their application process prior to the issuance of the CSP requirement, we beg the indulgence of the </w:t>
      </w:r>
      <w:proofErr w:type="spellStart"/>
      <w:r w:rsidRPr="005F5F47">
        <w:rPr>
          <w:rFonts w:ascii="Times New Roman" w:eastAsia="Times New Roman" w:hAnsi="Times New Roman" w:cs="Times New Roman"/>
          <w:sz w:val="24"/>
          <w:szCs w:val="24"/>
          <w:lang w:eastAsia="en-SG"/>
        </w:rPr>
        <w:t>Honorable</w:t>
      </w:r>
      <w:proofErr w:type="spellEnd"/>
      <w:r w:rsidRPr="005F5F47">
        <w:rPr>
          <w:rFonts w:ascii="Times New Roman" w:eastAsia="Times New Roman" w:hAnsi="Times New Roman" w:cs="Times New Roman"/>
          <w:sz w:val="24"/>
          <w:szCs w:val="24"/>
          <w:lang w:eastAsia="en-SG"/>
        </w:rPr>
        <w:t xml:space="preserve"> Commission </w:t>
      </w:r>
      <w:proofErr w:type="spellStart"/>
      <w:r w:rsidRPr="005F5F47">
        <w:rPr>
          <w:rFonts w:ascii="Times New Roman" w:eastAsia="Times New Roman" w:hAnsi="Times New Roman" w:cs="Times New Roman"/>
          <w:i/>
          <w:iCs/>
          <w:sz w:val="24"/>
          <w:szCs w:val="24"/>
          <w:lang w:eastAsia="en-SG"/>
        </w:rPr>
        <w:t>En</w:t>
      </w:r>
      <w:proofErr w:type="spellEnd"/>
      <w:r w:rsidRPr="005F5F47">
        <w:rPr>
          <w:rFonts w:ascii="Times New Roman" w:eastAsia="Times New Roman" w:hAnsi="Times New Roman" w:cs="Times New Roman"/>
          <w:i/>
          <w:iCs/>
          <w:sz w:val="24"/>
          <w:szCs w:val="24"/>
          <w:lang w:eastAsia="en-SG"/>
        </w:rPr>
        <w:t xml:space="preserve"> Banc</w:t>
      </w:r>
      <w:r w:rsidRPr="005F5F47">
        <w:rPr>
          <w:rFonts w:ascii="Times New Roman" w:eastAsia="Times New Roman" w:hAnsi="Times New Roman" w:cs="Times New Roman"/>
          <w:sz w:val="24"/>
          <w:szCs w:val="24"/>
          <w:lang w:eastAsia="en-SG"/>
        </w:rPr>
        <w:t xml:space="preserve"> to accept the subject PSCs and allow the filing thereof to proceed</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81]</w:t>
      </w:r>
    </w:p>
    <w:p w:rsidR="005F5F47" w:rsidRPr="005F5F47" w:rsidRDefault="005F5F47" w:rsidP="005F5F47">
      <w:pPr>
        <w:numPr>
          <w:ilvl w:val="0"/>
          <w:numId w:val="6"/>
        </w:numPr>
        <w:spacing w:before="100" w:beforeAutospacing="1" w:after="100" w:afterAutospacing="1"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i/>
          <w:iCs/>
          <w:sz w:val="24"/>
          <w:szCs w:val="24"/>
          <w:lang w:eastAsia="en-SG"/>
        </w:rPr>
        <w:t>December 21, 2015 letter</w:t>
      </w:r>
      <w:r w:rsidRPr="005F5F47">
        <w:rPr>
          <w:rFonts w:ascii="Times New Roman" w:eastAsia="Times New Roman" w:hAnsi="Times New Roman" w:cs="Times New Roman"/>
          <w:color w:val="FF0000"/>
          <w:sz w:val="24"/>
          <w:szCs w:val="24"/>
          <w:vertAlign w:val="superscript"/>
          <w:lang w:eastAsia="en-SG"/>
        </w:rPr>
        <w:t>[82]</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 xml:space="preserve">of </w:t>
      </w:r>
      <w:proofErr w:type="spellStart"/>
      <w:r w:rsidRPr="005F5F47">
        <w:rPr>
          <w:rFonts w:ascii="Times New Roman" w:eastAsia="Times New Roman" w:hAnsi="Times New Roman" w:cs="Times New Roman"/>
          <w:i/>
          <w:iCs/>
          <w:sz w:val="24"/>
          <w:szCs w:val="24"/>
          <w:lang w:eastAsia="en-SG"/>
        </w:rPr>
        <w:t>Camarines</w:t>
      </w:r>
      <w:proofErr w:type="spellEnd"/>
      <w:r w:rsidRPr="005F5F47">
        <w:rPr>
          <w:rFonts w:ascii="Times New Roman" w:eastAsia="Times New Roman" w:hAnsi="Times New Roman" w:cs="Times New Roman"/>
          <w:i/>
          <w:iCs/>
          <w:sz w:val="24"/>
          <w:szCs w:val="24"/>
          <w:lang w:eastAsia="en-SG"/>
        </w:rPr>
        <w:t xml:space="preserve"> Sur IV Electric Cooperative, Inc. (CASURECO), </w:t>
      </w:r>
      <w:r w:rsidRPr="005F5F47">
        <w:rPr>
          <w:rFonts w:ascii="Times New Roman" w:eastAsia="Times New Roman" w:hAnsi="Times New Roman" w:cs="Times New Roman"/>
          <w:b/>
          <w:bCs/>
          <w:i/>
          <w:iCs/>
          <w:sz w:val="24"/>
          <w:szCs w:val="24"/>
          <w:lang w:eastAsia="en-SG"/>
        </w:rPr>
        <w:t>which asks for an extension to file its joint application</w:t>
      </w:r>
      <w:r w:rsidRPr="005F5F47">
        <w:rPr>
          <w:rFonts w:ascii="Times New Roman" w:eastAsia="Times New Roman" w:hAnsi="Times New Roman" w:cs="Times New Roman"/>
          <w:sz w:val="24"/>
          <w:szCs w:val="24"/>
          <w:lang w:eastAsia="en-SG"/>
        </w:rPr>
        <w:t>:</w:t>
      </w:r>
    </w:p>
    <w:p w:rsidR="005F5F47" w:rsidRPr="005F5F47" w:rsidRDefault="005F5F47" w:rsidP="005F5F47">
      <w:pPr>
        <w:spacing w:beforeAutospacing="1" w:after="100" w:afterAutospacing="1" w:line="240" w:lineRule="auto"/>
        <w:ind w:left="1440"/>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On 03 August 2015, CASURECO IV and San Miguel Energy Corporation ("SMEC") entered into a mutual agreement before this </w:t>
      </w:r>
      <w:proofErr w:type="spellStart"/>
      <w:r w:rsidRPr="005F5F47">
        <w:rPr>
          <w:rFonts w:ascii="Times New Roman" w:eastAsia="Times New Roman" w:hAnsi="Times New Roman" w:cs="Times New Roman"/>
          <w:sz w:val="24"/>
          <w:szCs w:val="24"/>
          <w:lang w:eastAsia="en-SG"/>
        </w:rPr>
        <w:t>Honorable</w:t>
      </w:r>
      <w:proofErr w:type="spellEnd"/>
      <w:r w:rsidRPr="005F5F47">
        <w:rPr>
          <w:rFonts w:ascii="Times New Roman" w:eastAsia="Times New Roman" w:hAnsi="Times New Roman" w:cs="Times New Roman"/>
          <w:sz w:val="24"/>
          <w:szCs w:val="24"/>
          <w:lang w:eastAsia="en-SG"/>
        </w:rPr>
        <w:t xml:space="preserve"> Commission to pre-terminate the Power Supply Contract dated 23 August 2013 between CASURECO IV and SMEC ("SMEC PSC"). As a result of the pre-termination of SMEC PSC, beginning 00:00H of 26 August 2015, SMEC ceased to supply power to CASURECO IV.</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Because CASURECO IV received no proposals for its power supply requirements, it began direct negotiations with ULGEI.</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lastRenderedPageBreak/>
        <w:t xml:space="preserve">Since CASURECO IV received such letter on 24 September 2015, CASURECO IV and ULGEI had until 23 November 2015 to file a joint-application for the approval of a power supply agreement. Due, however, to the extensive negotiations conducted to provide the Franchise Area a competitive and reliable supply of power, and since it will take time to prepare and finalize a power supply agreement, CASURECO IV and ULGEI requested this </w:t>
      </w:r>
      <w:proofErr w:type="spellStart"/>
      <w:r w:rsidRPr="005F5F47">
        <w:rPr>
          <w:rFonts w:ascii="Times New Roman" w:eastAsia="Times New Roman" w:hAnsi="Times New Roman" w:cs="Times New Roman"/>
          <w:sz w:val="24"/>
          <w:szCs w:val="24"/>
          <w:lang w:eastAsia="en-SG"/>
        </w:rPr>
        <w:t>Honorable</w:t>
      </w:r>
      <w:proofErr w:type="spellEnd"/>
      <w:r w:rsidRPr="005F5F47">
        <w:rPr>
          <w:rFonts w:ascii="Times New Roman" w:eastAsia="Times New Roman" w:hAnsi="Times New Roman" w:cs="Times New Roman"/>
          <w:sz w:val="24"/>
          <w:szCs w:val="24"/>
          <w:lang w:eastAsia="en-SG"/>
        </w:rPr>
        <w:t xml:space="preserve"> Commission for an additional thirty (30) days within which to file a joint-application, or until 23 December 2015</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83]</w:t>
      </w:r>
    </w:p>
    <w:p w:rsidR="005F5F47" w:rsidRPr="005F5F47" w:rsidRDefault="005F5F47" w:rsidP="005F5F47">
      <w:pPr>
        <w:numPr>
          <w:ilvl w:val="0"/>
          <w:numId w:val="6"/>
        </w:numPr>
        <w:spacing w:before="100" w:beforeAutospacing="1" w:after="100" w:afterAutospacing="1"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i/>
          <w:iCs/>
          <w:sz w:val="24"/>
          <w:szCs w:val="24"/>
          <w:lang w:eastAsia="en-SG"/>
        </w:rPr>
        <w:t>March 9, 2016 letter</w:t>
      </w:r>
      <w:r w:rsidRPr="005F5F47">
        <w:rPr>
          <w:rFonts w:ascii="Times New Roman" w:eastAsia="Times New Roman" w:hAnsi="Times New Roman" w:cs="Times New Roman"/>
          <w:color w:val="FF0000"/>
          <w:sz w:val="24"/>
          <w:szCs w:val="24"/>
          <w:vertAlign w:val="superscript"/>
          <w:lang w:eastAsia="en-SG"/>
        </w:rPr>
        <w:t>[84]</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 xml:space="preserve">of Aldan Electric Cooperative Inc. (AKELCO), </w:t>
      </w:r>
      <w:r w:rsidRPr="005F5F47">
        <w:rPr>
          <w:rFonts w:ascii="Times New Roman" w:eastAsia="Times New Roman" w:hAnsi="Times New Roman" w:cs="Times New Roman"/>
          <w:b/>
          <w:bCs/>
          <w:i/>
          <w:iCs/>
          <w:sz w:val="24"/>
          <w:szCs w:val="24"/>
          <w:lang w:eastAsia="en-SG"/>
        </w:rPr>
        <w:t>which poses some queries regarding the CSP requirement</w:t>
      </w:r>
      <w:r w:rsidRPr="005F5F47">
        <w:rPr>
          <w:rFonts w:ascii="Times New Roman" w:eastAsia="Times New Roman" w:hAnsi="Times New Roman" w:cs="Times New Roman"/>
          <w:sz w:val="24"/>
          <w:szCs w:val="24"/>
          <w:lang w:eastAsia="en-SG"/>
        </w:rPr>
        <w:t>:</w:t>
      </w:r>
    </w:p>
    <w:p w:rsidR="005F5F47" w:rsidRPr="005F5F47" w:rsidRDefault="005F5F47" w:rsidP="005F5F47">
      <w:pPr>
        <w:spacing w:beforeAutospacing="1" w:after="100" w:afterAutospacing="1" w:line="240" w:lineRule="auto"/>
        <w:ind w:left="1440"/>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We write to advance our queries pertaining to the Competitive Selection Process which is now part of the Power Supply Procurement requirements for all DUs. The related ERC Resolution No. 13 Series of 2015 was already in effect 15 days after its publication last October 20, 2015.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In the case of AKELCO where in previous years, two (2) Power Supply Contracts for base load requirements were already signed by both parties but were not filed with the ERC before the effectivity of the CSP. The queries are as follows:</w:t>
      </w:r>
    </w:p>
    <w:p w:rsidR="005F5F47" w:rsidRPr="005F5F47" w:rsidRDefault="005F5F47" w:rsidP="005F5F47">
      <w:pPr>
        <w:spacing w:before="100" w:beforeAutospacing="1" w:after="100" w:afterAutospacing="1" w:line="240" w:lineRule="auto"/>
        <w:ind w:left="2160"/>
        <w:rPr>
          <w:rFonts w:ascii="Times New Roman" w:eastAsia="Times New Roman" w:hAnsi="Times New Roman" w:cs="Times New Roman"/>
          <w:sz w:val="24"/>
          <w:szCs w:val="24"/>
          <w:lang w:eastAsia="en-SG"/>
        </w:rPr>
      </w:pPr>
    </w:p>
    <w:p w:rsidR="005F5F47" w:rsidRPr="005F5F47" w:rsidRDefault="005F5F47" w:rsidP="005F5F47">
      <w:pPr>
        <w:numPr>
          <w:ilvl w:val="1"/>
          <w:numId w:val="6"/>
        </w:numPr>
        <w:spacing w:before="100" w:beforeAutospacing="1" w:after="240" w:line="240" w:lineRule="auto"/>
        <w:ind w:left="2160"/>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If the Power Supply Contracts that were not filed due to non- compliance to CSP still binding?</w:t>
      </w:r>
    </w:p>
    <w:p w:rsidR="005F5F47" w:rsidRPr="005F5F47" w:rsidRDefault="005F5F47" w:rsidP="005F5F47">
      <w:pPr>
        <w:numPr>
          <w:ilvl w:val="1"/>
          <w:numId w:val="6"/>
        </w:numPr>
        <w:spacing w:before="100" w:beforeAutospacing="1" w:after="240" w:line="240" w:lineRule="auto"/>
        <w:ind w:left="2160"/>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What are the ERC's recommended modes of CSPs? Is the so- called "Price Challenge" or Swiss Challenge allowed? And,</w:t>
      </w:r>
    </w:p>
    <w:p w:rsidR="005F5F47" w:rsidRPr="005F5F47" w:rsidRDefault="005F5F47" w:rsidP="005F5F47">
      <w:pPr>
        <w:numPr>
          <w:ilvl w:val="1"/>
          <w:numId w:val="6"/>
        </w:numPr>
        <w:spacing w:before="100" w:beforeAutospacing="1" w:after="100" w:afterAutospacing="1" w:line="240" w:lineRule="auto"/>
        <w:ind w:left="2160"/>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Presuming that some of the stipulated provisions (i.e. date of initial delivery, base load demand requirements) in the said contracts cannot be met due to CSP requirement or already unacceptable to either of the party, can we still re-negotiate the provisions and at the same time introduce the ERC recommended terms of reference?</w:t>
      </w:r>
      <w:r w:rsidRPr="005F5F47">
        <w:rPr>
          <w:rFonts w:ascii="Times New Roman" w:eastAsia="Times New Roman" w:hAnsi="Times New Roman" w:cs="Times New Roman"/>
          <w:color w:val="FF0000"/>
          <w:sz w:val="24"/>
          <w:szCs w:val="24"/>
          <w:vertAlign w:val="superscript"/>
          <w:lang w:eastAsia="en-SG"/>
        </w:rPr>
        <w:t>[85]</w:t>
      </w:r>
    </w:p>
    <w:p w:rsidR="005F5F47" w:rsidRPr="005F5F47" w:rsidRDefault="005F5F47" w:rsidP="005F5F47">
      <w:pPr>
        <w:numPr>
          <w:ilvl w:val="0"/>
          <w:numId w:val="6"/>
        </w:numPr>
        <w:spacing w:before="100" w:beforeAutospacing="1" w:after="100" w:afterAutospacing="1"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i/>
          <w:iCs/>
          <w:sz w:val="24"/>
          <w:szCs w:val="24"/>
          <w:lang w:eastAsia="en-SG"/>
        </w:rPr>
        <w:t>December 15, 2015 letter</w:t>
      </w:r>
      <w:r w:rsidRPr="005F5F47">
        <w:rPr>
          <w:rFonts w:ascii="Times New Roman" w:eastAsia="Times New Roman" w:hAnsi="Times New Roman" w:cs="Times New Roman"/>
          <w:color w:val="FF0000"/>
          <w:sz w:val="24"/>
          <w:szCs w:val="24"/>
          <w:vertAlign w:val="superscript"/>
          <w:lang w:eastAsia="en-SG"/>
        </w:rPr>
        <w:t>[86]</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 xml:space="preserve">of </w:t>
      </w:r>
      <w:proofErr w:type="spellStart"/>
      <w:r w:rsidRPr="005F5F47">
        <w:rPr>
          <w:rFonts w:ascii="Times New Roman" w:eastAsia="Times New Roman" w:hAnsi="Times New Roman" w:cs="Times New Roman"/>
          <w:i/>
          <w:iCs/>
          <w:sz w:val="24"/>
          <w:szCs w:val="24"/>
          <w:lang w:eastAsia="en-SG"/>
        </w:rPr>
        <w:t>Astronergy</w:t>
      </w:r>
      <w:proofErr w:type="spellEnd"/>
      <w:r w:rsidRPr="005F5F47">
        <w:rPr>
          <w:rFonts w:ascii="Times New Roman" w:eastAsia="Times New Roman" w:hAnsi="Times New Roman" w:cs="Times New Roman"/>
          <w:i/>
          <w:iCs/>
          <w:sz w:val="24"/>
          <w:szCs w:val="24"/>
          <w:lang w:eastAsia="en-SG"/>
        </w:rPr>
        <w:t xml:space="preserve"> Development, </w:t>
      </w:r>
      <w:r w:rsidRPr="005F5F47">
        <w:rPr>
          <w:rFonts w:ascii="Times New Roman" w:eastAsia="Times New Roman" w:hAnsi="Times New Roman" w:cs="Times New Roman"/>
          <w:b/>
          <w:bCs/>
          <w:i/>
          <w:iCs/>
          <w:sz w:val="24"/>
          <w:szCs w:val="24"/>
          <w:lang w:eastAsia="en-SG"/>
        </w:rPr>
        <w:t>which raises the issue of impairment of contracts</w:t>
      </w:r>
      <w:r w:rsidRPr="005F5F47">
        <w:rPr>
          <w:rFonts w:ascii="Times New Roman" w:eastAsia="Times New Roman" w:hAnsi="Times New Roman" w:cs="Times New Roman"/>
          <w:sz w:val="24"/>
          <w:szCs w:val="24"/>
          <w:lang w:eastAsia="en-SG"/>
        </w:rPr>
        <w:t>:</w:t>
      </w:r>
    </w:p>
    <w:p w:rsidR="005F5F47" w:rsidRPr="005F5F47" w:rsidRDefault="005F5F47" w:rsidP="005F5F47">
      <w:pPr>
        <w:spacing w:beforeAutospacing="1" w:after="100" w:afterAutospacing="1" w:line="240" w:lineRule="auto"/>
        <w:ind w:left="1440"/>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We respectfully request a meeting with you at your earliest convenience, so that we can discuss our peculiar situation following the issuance of the Resolution. Our meeting objective is to understand your views regarding the retroactive application of the Resolution and further, to understand how to harmonize Resolution in light of the third party legal opinion we have attached herein for your consideration. Lastly, we hope to be allowed a brief opportunity to present and discuss our views on why the Commission's staff should interpret the Resolution in a manner that is consistent with the Commission's past written responses on RE to the Senate Energy Committee; and the Commission's related Decision relevant to our particular circumstances.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lastRenderedPageBreak/>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Section 4 of the Resolution requires the DUs to conduct a CSP for PSAs that have not yet submitted its PSA with the ERC. We believe the result is a retroactive application of the Resolution that impairs our contracts that were entered into in good faith. This creates uncertainties, including the possible revision and rescission of existing binding agreements, which our group of companies, and their shareholders and creditors, are greatly concerned about. There are also specific considerations with each DU: for each PSA we have executed since the application of the Resolution would potentially lead to losses and additional project delay. Any further delay (such as revisiting CSP) would result in a breach of contract for not meeting deadlines</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87]</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It bears stressing that these concerns were recognized to be reasonable and legitimate concerns by the DOE itself as shown by the act of the DOE of endorsing one of these letters to the ERC. On January 18, 2016, the DOE endorsed for the ERC's consideration to allow </w:t>
      </w:r>
      <w:proofErr w:type="spellStart"/>
      <w:r w:rsidRPr="005F5F47">
        <w:rPr>
          <w:rFonts w:ascii="Times New Roman" w:eastAsia="Times New Roman" w:hAnsi="Times New Roman" w:cs="Times New Roman"/>
          <w:sz w:val="24"/>
          <w:szCs w:val="24"/>
          <w:lang w:eastAsia="en-SG"/>
        </w:rPr>
        <w:t>Abra</w:t>
      </w:r>
      <w:proofErr w:type="spellEnd"/>
      <w:r w:rsidRPr="005F5F47">
        <w:rPr>
          <w:rFonts w:ascii="Times New Roman" w:eastAsia="Times New Roman" w:hAnsi="Times New Roman" w:cs="Times New Roman"/>
          <w:sz w:val="24"/>
          <w:szCs w:val="24"/>
          <w:lang w:eastAsia="en-SG"/>
        </w:rPr>
        <w:t xml:space="preserve"> Electric Cooperative (ABRECO) to directly negotiate with a power supplier, albeit without following the CSP requirement.</w:t>
      </w:r>
      <w:r w:rsidRPr="005F5F47">
        <w:rPr>
          <w:rFonts w:ascii="Times New Roman" w:eastAsia="Times New Roman" w:hAnsi="Times New Roman" w:cs="Times New Roman"/>
          <w:color w:val="FF0000"/>
          <w:sz w:val="24"/>
          <w:szCs w:val="24"/>
          <w:vertAlign w:val="superscript"/>
          <w:lang w:eastAsia="en-SG"/>
        </w:rPr>
        <w:t>[88]</w:t>
      </w:r>
      <w:r w:rsidRPr="005F5F47">
        <w:rPr>
          <w:rFonts w:ascii="Times New Roman" w:eastAsia="Times New Roman" w:hAnsi="Times New Roman" w:cs="Times New Roman"/>
          <w:sz w:val="24"/>
          <w:szCs w:val="24"/>
          <w:lang w:eastAsia="en-SG"/>
        </w:rPr>
        <w:t xml:space="preserve"> The DOE explained that the said request for endorsement was made in consideration of ABRECO's situation as an ailing electric cooperative and to prevent its vulnerability to volatile wholesale electricity spot market (WESM) prices given that its supply is sourced from it.</w:t>
      </w:r>
      <w:r w:rsidRPr="005F5F47">
        <w:rPr>
          <w:rFonts w:ascii="Times New Roman" w:eastAsia="Times New Roman" w:hAnsi="Times New Roman" w:cs="Times New Roman"/>
          <w:color w:val="FF0000"/>
          <w:sz w:val="24"/>
          <w:szCs w:val="24"/>
          <w:vertAlign w:val="superscript"/>
          <w:lang w:eastAsia="en-SG"/>
        </w:rPr>
        <w:t>[89]</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views this letter as a confirmation that the DOE directed the ERC to take action on the matter and that it did not foreclose the ERC from directing ABRECO to undertake a Swiss challenge, a form of public bidding where an original proponent's offer is opened to competitive bids but the original proponent may counter match any superior offer.</w:t>
      </w:r>
      <w:r w:rsidRPr="005F5F47">
        <w:rPr>
          <w:rFonts w:ascii="Times New Roman" w:eastAsia="Times New Roman" w:hAnsi="Times New Roman" w:cs="Times New Roman"/>
          <w:color w:val="FF0000"/>
          <w:sz w:val="24"/>
          <w:szCs w:val="24"/>
          <w:vertAlign w:val="superscript"/>
          <w:lang w:eastAsia="en-SG"/>
        </w:rPr>
        <w:t>[90]</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To my mind, this letter from the DOE is not, as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says, an admission of the need to coordinate with the DOE. Rather, this letter is in fact a recognition by the DOE that the power of whether to exempt an entity from the CSP is lodged solely with the ERC. That the DOE was clearly requesting the ERC and not directing it is seen from a plain reading of the letter where the DOE stated: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thus, we are endorsing for ERC's consideration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x."</w:t>
      </w:r>
      <w:r w:rsidRPr="005F5F47">
        <w:rPr>
          <w:rFonts w:ascii="Times New Roman" w:eastAsia="Times New Roman" w:hAnsi="Times New Roman" w:cs="Times New Roman"/>
          <w:color w:val="FF0000"/>
          <w:sz w:val="24"/>
          <w:szCs w:val="24"/>
          <w:vertAlign w:val="superscript"/>
          <w:lang w:eastAsia="en-SG"/>
        </w:rPr>
        <w:t>[91]</w:t>
      </w:r>
      <w:r w:rsidRPr="005F5F47">
        <w:rPr>
          <w:rFonts w:ascii="Times New Roman" w:eastAsia="Times New Roman" w:hAnsi="Times New Roman" w:cs="Times New Roman"/>
          <w:sz w:val="24"/>
          <w:szCs w:val="24"/>
          <w:lang w:eastAsia="en-SG"/>
        </w:rPr>
        <w:t xml:space="preserve"> This is a clear admission by the DOE that it is only the ERC which has the power to determine whether a certain energy sector player, such as ABRECO, may be exempted from the requirement of the CSP.</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Confronted with these concerns, the ERC deemed it wise to restate the effectivity of the CSP implementation. Thus, the restatement of the effectivity date of the CSP implementation from November 7, 2015 to April 30, 2016, virtually creating a transition period of five (5) months, was deemed by the ERC a long enough period to allow fruition of the PSAs at the throes of perfection or those already executed but not yet filed, and short enough to block those PSAs which were still too early in the negotiation or so far from execution.</w:t>
      </w:r>
      <w:r w:rsidRPr="005F5F47">
        <w:rPr>
          <w:rFonts w:ascii="Times New Roman" w:eastAsia="Times New Roman" w:hAnsi="Times New Roman" w:cs="Times New Roman"/>
          <w:color w:val="FF0000"/>
          <w:sz w:val="24"/>
          <w:szCs w:val="24"/>
          <w:vertAlign w:val="superscript"/>
          <w:lang w:eastAsia="en-SG"/>
        </w:rPr>
        <w:t>[92]</w:t>
      </w:r>
      <w:r w:rsidRPr="005F5F47">
        <w:rPr>
          <w:rFonts w:ascii="Times New Roman" w:eastAsia="Times New Roman" w:hAnsi="Times New Roman" w:cs="Times New Roman"/>
          <w:sz w:val="24"/>
          <w:szCs w:val="24"/>
          <w:lang w:eastAsia="en-SG"/>
        </w:rPr>
        <w:t xml:space="preserve"> The ERC found that granting a period of transition would avoid the risk of inconsistency in resolving the individual requests for exemptions sought by DUs, </w:t>
      </w:r>
      <w:proofErr w:type="spellStart"/>
      <w:r w:rsidRPr="005F5F47">
        <w:rPr>
          <w:rFonts w:ascii="Times New Roman" w:eastAsia="Times New Roman" w:hAnsi="Times New Roman" w:cs="Times New Roman"/>
          <w:sz w:val="24"/>
          <w:szCs w:val="24"/>
          <w:lang w:eastAsia="en-SG"/>
        </w:rPr>
        <w:t>GenCos</w:t>
      </w:r>
      <w:proofErr w:type="spellEnd"/>
      <w:r w:rsidRPr="005F5F47">
        <w:rPr>
          <w:rFonts w:ascii="Times New Roman" w:eastAsia="Times New Roman" w:hAnsi="Times New Roman" w:cs="Times New Roman"/>
          <w:sz w:val="24"/>
          <w:szCs w:val="24"/>
          <w:lang w:eastAsia="en-SG"/>
        </w:rPr>
        <w:t xml:space="preserve"> and electric cooperatives — </w:t>
      </w:r>
      <w:r w:rsidRPr="005F5F47">
        <w:rPr>
          <w:rFonts w:ascii="Times New Roman" w:eastAsia="Times New Roman" w:hAnsi="Times New Roman" w:cs="Times New Roman"/>
          <w:b/>
          <w:bCs/>
          <w:sz w:val="24"/>
          <w:szCs w:val="24"/>
          <w:lang w:eastAsia="en-SG"/>
        </w:rPr>
        <w:t xml:space="preserve">while, at the same, </w:t>
      </w:r>
      <w:r w:rsidRPr="005F5F47">
        <w:rPr>
          <w:rFonts w:ascii="Times New Roman" w:eastAsia="Times New Roman" w:hAnsi="Times New Roman" w:cs="Times New Roman"/>
          <w:b/>
          <w:bCs/>
          <w:i/>
          <w:iCs/>
          <w:sz w:val="24"/>
          <w:szCs w:val="24"/>
          <w:u w:val="single"/>
          <w:lang w:eastAsia="en-SG"/>
        </w:rPr>
        <w:t>ensuring a steady electric supply for the period covered by the different calls for the CSP exemption</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[93]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And, as the regulator, ERC had full knowledge and complete sense of the difficulty of adding a new requirement to an application for the approval of a PSA when the DUs and the </w:t>
      </w:r>
      <w:proofErr w:type="spellStart"/>
      <w:r w:rsidRPr="005F5F47">
        <w:rPr>
          <w:rFonts w:ascii="Times New Roman" w:eastAsia="Times New Roman" w:hAnsi="Times New Roman" w:cs="Times New Roman"/>
          <w:sz w:val="24"/>
          <w:szCs w:val="24"/>
          <w:lang w:eastAsia="en-SG"/>
        </w:rPr>
        <w:t>GenCos</w:t>
      </w:r>
      <w:proofErr w:type="spellEnd"/>
      <w:r w:rsidRPr="005F5F47">
        <w:rPr>
          <w:rFonts w:ascii="Times New Roman" w:eastAsia="Times New Roman" w:hAnsi="Times New Roman" w:cs="Times New Roman"/>
          <w:sz w:val="24"/>
          <w:szCs w:val="24"/>
          <w:lang w:eastAsia="en-SG"/>
        </w:rPr>
        <w:t xml:space="preserve"> had already executed their PSAs. </w:t>
      </w:r>
      <w:r w:rsidRPr="005F5F47">
        <w:rPr>
          <w:rFonts w:ascii="Times New Roman" w:eastAsia="Times New Roman" w:hAnsi="Times New Roman" w:cs="Times New Roman"/>
          <w:b/>
          <w:bCs/>
          <w:i/>
          <w:iCs/>
          <w:sz w:val="24"/>
          <w:szCs w:val="24"/>
          <w:u w:val="single"/>
          <w:lang w:eastAsia="en-SG"/>
        </w:rPr>
        <w:t xml:space="preserve">In fact, requiring a CSP would most likely have resulted </w:t>
      </w:r>
      <w:r w:rsidRPr="005F5F47">
        <w:rPr>
          <w:rFonts w:ascii="Times New Roman" w:eastAsia="Times New Roman" w:hAnsi="Times New Roman" w:cs="Times New Roman"/>
          <w:b/>
          <w:bCs/>
          <w:i/>
          <w:iCs/>
          <w:sz w:val="24"/>
          <w:szCs w:val="24"/>
          <w:u w:val="single"/>
          <w:lang w:eastAsia="en-SG"/>
        </w:rPr>
        <w:lastRenderedPageBreak/>
        <w:t>in the undoing of heavily and lengthily negotiated and executed agreements over which many computations and projections had already been done.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A review of the requirements enumerated above shows that in addition to the executed PSA, the parties are required to disclose their sources of funding, a sample computation of power rates, and even a breakdown of operating and maintenance expenses. </w:t>
      </w:r>
      <w:r w:rsidRPr="005F5F47">
        <w:rPr>
          <w:rFonts w:ascii="Times New Roman" w:eastAsia="Times New Roman" w:hAnsi="Times New Roman" w:cs="Times New Roman"/>
          <w:b/>
          <w:bCs/>
          <w:sz w:val="24"/>
          <w:szCs w:val="24"/>
          <w:u w:val="single"/>
          <w:lang w:eastAsia="en-SG"/>
        </w:rPr>
        <w:t xml:space="preserve">The undoing of a PSA and a re-negotiation of its terms will affect these figures and may even result in the replacement of the </w:t>
      </w:r>
      <w:proofErr w:type="spellStart"/>
      <w:r w:rsidRPr="005F5F47">
        <w:rPr>
          <w:rFonts w:ascii="Times New Roman" w:eastAsia="Times New Roman" w:hAnsi="Times New Roman" w:cs="Times New Roman"/>
          <w:b/>
          <w:bCs/>
          <w:sz w:val="24"/>
          <w:szCs w:val="24"/>
          <w:u w:val="single"/>
          <w:lang w:eastAsia="en-SG"/>
        </w:rPr>
        <w:t>GenCos</w:t>
      </w:r>
      <w:proofErr w:type="spellEnd"/>
      <w:r w:rsidRPr="005F5F47">
        <w:rPr>
          <w:rFonts w:ascii="Times New Roman" w:eastAsia="Times New Roman" w:hAnsi="Times New Roman" w:cs="Times New Roman"/>
          <w:b/>
          <w:bCs/>
          <w:sz w:val="24"/>
          <w:szCs w:val="24"/>
          <w:u w:val="single"/>
          <w:lang w:eastAsia="en-SG"/>
        </w:rPr>
        <w:t>. The DUs will have to start from scratch as a result of the directive to comply with the CSP.</w:t>
      </w:r>
      <w:r w:rsidRPr="005F5F47">
        <w:rPr>
          <w:rFonts w:ascii="Times New Roman" w:eastAsia="Times New Roman" w:hAnsi="Times New Roman" w:cs="Times New Roman"/>
          <w:sz w:val="24"/>
          <w:szCs w:val="24"/>
          <w:lang w:eastAsia="en-SG"/>
        </w:rPr>
        <w:t xml:space="preserve"> Again, these cannot be done at a whim or in a span of a few days. And this realization was the </w:t>
      </w:r>
      <w:r w:rsidRPr="005F5F47">
        <w:rPr>
          <w:rFonts w:ascii="Times New Roman" w:eastAsia="Times New Roman" w:hAnsi="Times New Roman" w:cs="Times New Roman"/>
          <w:i/>
          <w:iCs/>
          <w:sz w:val="24"/>
          <w:szCs w:val="24"/>
          <w:lang w:eastAsia="en-SG"/>
        </w:rPr>
        <w:t>animus</w:t>
      </w:r>
      <w:r w:rsidRPr="005F5F47">
        <w:rPr>
          <w:rFonts w:ascii="Times New Roman" w:eastAsia="Times New Roman" w:hAnsi="Times New Roman" w:cs="Times New Roman"/>
          <w:sz w:val="24"/>
          <w:szCs w:val="24"/>
          <w:lang w:eastAsia="en-SG"/>
        </w:rPr>
        <w:t xml:space="preserve"> for the creation of the transition period — to make the CSP applicable only to those PSAs that are still being negotiated as the parties to these PSAs have yet to conclude loan agreements for the financing of the project, they may adjust their projections on how the contract will affect the cost of electricity, and adjust their projected operating and maintenance expenses.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This is the reason why the recommendation of Justice </w:t>
      </w:r>
      <w:proofErr w:type="spellStart"/>
      <w:r w:rsidRPr="005F5F47">
        <w:rPr>
          <w:rFonts w:ascii="Times New Roman" w:eastAsia="Times New Roman" w:hAnsi="Times New Roman" w:cs="Times New Roman"/>
          <w:sz w:val="24"/>
          <w:szCs w:val="24"/>
          <w:lang w:eastAsia="en-SG"/>
        </w:rPr>
        <w:t>Bernabe</w:t>
      </w:r>
      <w:proofErr w:type="spellEnd"/>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i.e.</w:t>
      </w:r>
      <w:r w:rsidRPr="005F5F47">
        <w:rPr>
          <w:rFonts w:ascii="Times New Roman" w:eastAsia="Times New Roman" w:hAnsi="Times New Roman" w:cs="Times New Roman"/>
          <w:sz w:val="24"/>
          <w:szCs w:val="24"/>
          <w:lang w:eastAsia="en-SG"/>
        </w:rPr>
        <w:t>, for the creation of transitory regulations so that the PSAs shall become effective only when a new PSA is executed after following the CSP, is not feasible. These PSAs were heavily negotiated and loans and projections have already been made following the terms reflected in the PSAs. All of these PSAs will be undone should the parties thereto be now required to undergo CSP.</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Further, Resolution No. 1 did not only restate the effectivity date of the CSP implementation, it likewise already addressed certain concerns raised by these stakeholders. The ERC, in said resolution, clarified certain compliance requirements on the other forms of CSP as provided in Resolution No. 13. It further resolved that the PSAs with provisions allowing automatic renewal or extension of their term, whether or not such renewal or extension requires the intervention of the parties, may have one (1) automatic renewal or extension for a period not exceeding one (1) year from the end of their respective terms, provided that these PSAs were approved by the ERC before the effectivity of Resolution No. 1; if not, then automatic renewal clauses or extension of the PSAs shall no longer be permitted.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however, reasons that the extension was not necessary because "the issuance of the 2015 DOE Circular and of the CSP Resolution was not conjured on a whim"</w:t>
      </w:r>
      <w:r w:rsidRPr="005F5F47">
        <w:rPr>
          <w:rFonts w:ascii="Times New Roman" w:eastAsia="Times New Roman" w:hAnsi="Times New Roman" w:cs="Times New Roman"/>
          <w:color w:val="FF0000"/>
          <w:sz w:val="24"/>
          <w:szCs w:val="24"/>
          <w:vertAlign w:val="superscript"/>
          <w:lang w:eastAsia="en-SG"/>
        </w:rPr>
        <w:t>[94]</w:t>
      </w:r>
      <w:r w:rsidRPr="005F5F47">
        <w:rPr>
          <w:rFonts w:ascii="Times New Roman" w:eastAsia="Times New Roman" w:hAnsi="Times New Roman" w:cs="Times New Roman"/>
          <w:sz w:val="24"/>
          <w:szCs w:val="24"/>
          <w:lang w:eastAsia="en-SG"/>
        </w:rPr>
        <w:t xml:space="preserve"> and that "the DOE has conducted a series of nationwide public consultations on the proposed policy on competitive procurement of electric supply for all electricity end-users."</w:t>
      </w:r>
      <w:r w:rsidRPr="005F5F47">
        <w:rPr>
          <w:rFonts w:ascii="Times New Roman" w:eastAsia="Times New Roman" w:hAnsi="Times New Roman" w:cs="Times New Roman"/>
          <w:color w:val="FF0000"/>
          <w:sz w:val="24"/>
          <w:szCs w:val="24"/>
          <w:vertAlign w:val="superscript"/>
          <w:lang w:eastAsia="en-SG"/>
        </w:rPr>
        <w:t>[95</w:t>
      </w:r>
      <w:proofErr w:type="gramStart"/>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It must be pointed out, however, that the public consultations and focus-group discussions referred to by the </w:t>
      </w:r>
      <w:proofErr w:type="spellStart"/>
      <w:r w:rsidRPr="005F5F47">
        <w:rPr>
          <w:rFonts w:ascii="Times New Roman" w:eastAsia="Times New Roman" w:hAnsi="Times New Roman" w:cs="Times New Roman"/>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were in relation to the draft "</w:t>
      </w:r>
      <w:r w:rsidRPr="005F5F47">
        <w:rPr>
          <w:rFonts w:ascii="Times New Roman" w:eastAsia="Times New Roman" w:hAnsi="Times New Roman" w:cs="Times New Roman"/>
          <w:i/>
          <w:iCs/>
          <w:sz w:val="24"/>
          <w:szCs w:val="24"/>
          <w:lang w:eastAsia="en-SG"/>
        </w:rPr>
        <w:t>Rules Governing the Execution, Review, and Evaluation of Power Supply Agreements entered into by Distribution Utilities for the Supply of Electricity to their Captive Market</w:t>
      </w:r>
      <w:r w:rsidRPr="005F5F47">
        <w:rPr>
          <w:rFonts w:ascii="Times New Roman" w:eastAsia="Times New Roman" w:hAnsi="Times New Roman" w:cs="Times New Roman"/>
          <w:sz w:val="24"/>
          <w:szCs w:val="24"/>
          <w:lang w:eastAsia="en-SG"/>
        </w:rPr>
        <w:t xml:space="preserve">" (PSA Rules). Quoted below is the Whereas Clause of Resolution No. 13 relied on by the </w:t>
      </w:r>
      <w:proofErr w:type="spellStart"/>
      <w:proofErr w:type="gram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96]</w:t>
      </w:r>
      <w:r w:rsidRPr="005F5F47">
        <w:rPr>
          <w:rFonts w:ascii="Times New Roman" w:eastAsia="Times New Roman" w:hAnsi="Times New Roman" w:cs="Times New Roman"/>
          <w:sz w:val="24"/>
          <w:szCs w:val="24"/>
          <w:lang w:eastAsia="en-SG"/>
        </w:rPr>
        <w:t xml:space="preserve"> in arguing that public consultations were conducted:</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WHEREAS</w:t>
      </w:r>
      <w:r w:rsidRPr="005F5F47">
        <w:rPr>
          <w:rFonts w:ascii="Times New Roman" w:eastAsia="Times New Roman" w:hAnsi="Times New Roman" w:cs="Times New Roman"/>
          <w:sz w:val="24"/>
          <w:szCs w:val="24"/>
          <w:lang w:eastAsia="en-SG"/>
        </w:rPr>
        <w:t xml:space="preserve">, the ERC, likewise, conducted Focus Group Discussions (FGDs) with the stakeholders on April 22 to 24, 2014 in Pasig City, May 6 to May 8, 2014 in Cebu City, May 13 to 14, 2014 in Cagayan De Oro City and May 20 to 22, 2014 in Pasig City, to thoroughly discuss major issues in relation to the </w:t>
      </w:r>
      <w:r w:rsidRPr="005F5F47">
        <w:rPr>
          <w:rFonts w:ascii="Times New Roman" w:eastAsia="Times New Roman" w:hAnsi="Times New Roman" w:cs="Times New Roman"/>
          <w:b/>
          <w:bCs/>
          <w:sz w:val="24"/>
          <w:szCs w:val="24"/>
          <w:u w:val="single"/>
          <w:lang w:eastAsia="en-SG"/>
        </w:rPr>
        <w:t>draft PSA Rules</w:t>
      </w:r>
      <w:r w:rsidRPr="005F5F47">
        <w:rPr>
          <w:rFonts w:ascii="Times New Roman" w:eastAsia="Times New Roman" w:hAnsi="Times New Roman" w:cs="Times New Roman"/>
          <w:sz w:val="24"/>
          <w:szCs w:val="24"/>
          <w:lang w:eastAsia="en-SG"/>
        </w:rPr>
        <w:t xml:space="preserve">, such as: </w:t>
      </w:r>
      <w:r w:rsidRPr="005F5F47">
        <w:rPr>
          <w:rFonts w:ascii="Times New Roman" w:eastAsia="Times New Roman" w:hAnsi="Times New Roman" w:cs="Times New Roman"/>
          <w:b/>
          <w:bCs/>
          <w:sz w:val="24"/>
          <w:szCs w:val="24"/>
          <w:lang w:eastAsia="en-SG"/>
        </w:rPr>
        <w:t>a) the requirement of Competitive Selection Process (CSP);</w:t>
      </w:r>
      <w:r w:rsidRPr="005F5F47">
        <w:rPr>
          <w:rFonts w:ascii="Times New Roman" w:eastAsia="Times New Roman" w:hAnsi="Times New Roman" w:cs="Times New Roman"/>
          <w:sz w:val="24"/>
          <w:szCs w:val="24"/>
          <w:lang w:eastAsia="en-SG"/>
        </w:rPr>
        <w:t xml:space="preserve"> b) the proposed PSA template; c) the joint filing of PSA applications by the DUs and generation companies (</w:t>
      </w:r>
      <w:proofErr w:type="spellStart"/>
      <w:r w:rsidRPr="005F5F47">
        <w:rPr>
          <w:rFonts w:ascii="Times New Roman" w:eastAsia="Times New Roman" w:hAnsi="Times New Roman" w:cs="Times New Roman"/>
          <w:sz w:val="24"/>
          <w:szCs w:val="24"/>
          <w:lang w:eastAsia="en-SG"/>
        </w:rPr>
        <w:t>GenCos</w:t>
      </w:r>
      <w:proofErr w:type="spellEnd"/>
      <w:r w:rsidRPr="005F5F47">
        <w:rPr>
          <w:rFonts w:ascii="Times New Roman" w:eastAsia="Times New Roman" w:hAnsi="Times New Roman" w:cs="Times New Roman"/>
          <w:sz w:val="24"/>
          <w:szCs w:val="24"/>
          <w:lang w:eastAsia="en-SG"/>
        </w:rPr>
        <w:t>); and d) the "walk-away" provision in the PSA, and the ERC likewise set the deadline for the submission of additional comments or position papers for May 30, 2014.</w:t>
      </w:r>
      <w:r w:rsidRPr="005F5F47">
        <w:rPr>
          <w:rFonts w:ascii="Times New Roman" w:eastAsia="Times New Roman" w:hAnsi="Times New Roman" w:cs="Times New Roman"/>
          <w:color w:val="FF0000"/>
          <w:sz w:val="24"/>
          <w:szCs w:val="24"/>
          <w:vertAlign w:val="superscript"/>
          <w:lang w:eastAsia="en-SG"/>
        </w:rPr>
        <w:t>[97]</w:t>
      </w:r>
      <w:r w:rsidRPr="005F5F47">
        <w:rPr>
          <w:rFonts w:ascii="Times New Roman" w:eastAsia="Times New Roman" w:hAnsi="Times New Roman" w:cs="Times New Roman"/>
          <w:sz w:val="24"/>
          <w:szCs w:val="24"/>
          <w:lang w:eastAsia="en-SG"/>
        </w:rPr>
        <w:t xml:space="preserve"> (Emphasis and underscoring supplied)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lastRenderedPageBreak/>
        <w:t xml:space="preserve">The Court can take judicial </w:t>
      </w:r>
      <w:proofErr w:type="gramStart"/>
      <w:r w:rsidRPr="005F5F47">
        <w:rPr>
          <w:rFonts w:ascii="Times New Roman" w:eastAsia="Times New Roman" w:hAnsi="Times New Roman" w:cs="Times New Roman"/>
          <w:sz w:val="24"/>
          <w:szCs w:val="24"/>
          <w:lang w:eastAsia="en-SG"/>
        </w:rPr>
        <w:t>notice</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98]</w:t>
      </w:r>
      <w:r w:rsidRPr="005F5F47">
        <w:rPr>
          <w:rFonts w:ascii="Times New Roman" w:eastAsia="Times New Roman" w:hAnsi="Times New Roman" w:cs="Times New Roman"/>
          <w:sz w:val="24"/>
          <w:szCs w:val="24"/>
          <w:lang w:eastAsia="en-SG"/>
        </w:rPr>
        <w:t xml:space="preserve"> of the fact that up to the present, the said PSA Rules are still in draft form. In fact, comments on the draft PSA Rules are still being received by the ERC</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99]</w:t>
      </w:r>
      <w:r w:rsidRPr="005F5F47">
        <w:rPr>
          <w:rFonts w:ascii="Times New Roman" w:eastAsia="Times New Roman" w:hAnsi="Times New Roman" w:cs="Times New Roman"/>
          <w:sz w:val="24"/>
          <w:szCs w:val="24"/>
          <w:lang w:eastAsia="en-SG"/>
        </w:rPr>
        <w:t xml:space="preserve"> and a public consultation on the draft was just concluded by the ERC on October 15, 2018.</w:t>
      </w:r>
      <w:r w:rsidRPr="005F5F47">
        <w:rPr>
          <w:rFonts w:ascii="Times New Roman" w:eastAsia="Times New Roman" w:hAnsi="Times New Roman" w:cs="Times New Roman"/>
          <w:color w:val="FF0000"/>
          <w:sz w:val="24"/>
          <w:szCs w:val="24"/>
          <w:vertAlign w:val="superscript"/>
          <w:lang w:eastAsia="en-SG"/>
        </w:rPr>
        <w:t>[100]</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Therefore, while it is true that the CSP requirement was not totally unexpected, the DUs cannot, however, be expected to comply with the said requirement that was made effective </w:t>
      </w:r>
      <w:r w:rsidRPr="005F5F47">
        <w:rPr>
          <w:rFonts w:ascii="Times New Roman" w:eastAsia="Times New Roman" w:hAnsi="Times New Roman" w:cs="Times New Roman"/>
          <w:b/>
          <w:bCs/>
          <w:i/>
          <w:iCs/>
          <w:sz w:val="24"/>
          <w:szCs w:val="24"/>
          <w:lang w:eastAsia="en-SG"/>
        </w:rPr>
        <w:t>immediately</w:t>
      </w:r>
      <w:r w:rsidRPr="005F5F47">
        <w:rPr>
          <w:rFonts w:ascii="Times New Roman" w:eastAsia="Times New Roman" w:hAnsi="Times New Roman" w:cs="Times New Roman"/>
          <w:sz w:val="24"/>
          <w:szCs w:val="24"/>
          <w:lang w:eastAsia="en-SG"/>
        </w:rPr>
        <w:t xml:space="preserve">. While consultations were indeed made regarding the CSP requirement, these consultations were in the context of the draft PSA rules </w:t>
      </w:r>
      <w:r w:rsidRPr="005F5F47">
        <w:rPr>
          <w:rFonts w:ascii="Times New Roman" w:eastAsia="Times New Roman" w:hAnsi="Times New Roman" w:cs="Times New Roman"/>
          <w:b/>
          <w:bCs/>
          <w:i/>
          <w:iCs/>
          <w:sz w:val="24"/>
          <w:szCs w:val="24"/>
          <w:lang w:eastAsia="en-SG"/>
        </w:rPr>
        <w:t>that have not been made effective yet</w:t>
      </w:r>
      <w:r w:rsidRPr="005F5F47">
        <w:rPr>
          <w:rFonts w:ascii="Times New Roman" w:eastAsia="Times New Roman" w:hAnsi="Times New Roman" w:cs="Times New Roman"/>
          <w:sz w:val="24"/>
          <w:szCs w:val="24"/>
          <w:lang w:eastAsia="en-SG"/>
        </w:rPr>
        <w:t>; hence, it is understandable that the DUs were still negotiating their PSAs under the old framework where the CSP was not yet required.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u w:val="single"/>
          <w:lang w:eastAsia="en-SG"/>
        </w:rPr>
        <w:t>To stress, the DUs cannot be expected to follow a rule that was not yet in place.</w:t>
      </w:r>
      <w:r w:rsidRPr="005F5F47">
        <w:rPr>
          <w:rFonts w:ascii="Times New Roman" w:eastAsia="Times New Roman" w:hAnsi="Times New Roman" w:cs="Times New Roman"/>
          <w:sz w:val="24"/>
          <w:szCs w:val="24"/>
          <w:lang w:eastAsia="en-SG"/>
        </w:rPr>
        <w:t xml:space="preserve"> In other words, it was but natural for the DUs to have pending PSA negotiations that did not go through the CSP when the CSP requirement was made effective all of a sudden.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Thus, it is clear that the issuance of Resolution No. 1 was not, as it cannot reasonably be categorized as, arbitrary, whimsical or capricious. </w:t>
      </w:r>
      <w:r w:rsidRPr="005F5F47">
        <w:rPr>
          <w:rFonts w:ascii="Times New Roman" w:eastAsia="Times New Roman" w:hAnsi="Times New Roman" w:cs="Times New Roman"/>
          <w:b/>
          <w:bCs/>
          <w:sz w:val="24"/>
          <w:szCs w:val="24"/>
          <w:lang w:eastAsia="en-SG"/>
        </w:rPr>
        <w:t xml:space="preserve">The creation of a transition period, together with the clarifications provided in Resolution No. 1, constitutes </w:t>
      </w:r>
      <w:r w:rsidRPr="005F5F47">
        <w:rPr>
          <w:rFonts w:ascii="Times New Roman" w:eastAsia="Times New Roman" w:hAnsi="Times New Roman" w:cs="Times New Roman"/>
          <w:b/>
          <w:bCs/>
          <w:sz w:val="24"/>
          <w:szCs w:val="24"/>
          <w:u w:val="single"/>
          <w:lang w:eastAsia="en-SG"/>
        </w:rPr>
        <w:t>a reasonable well thought-out response</w:t>
      </w:r>
      <w:r w:rsidRPr="005F5F47">
        <w:rPr>
          <w:rFonts w:ascii="Times New Roman" w:eastAsia="Times New Roman" w:hAnsi="Times New Roman" w:cs="Times New Roman"/>
          <w:b/>
          <w:bCs/>
          <w:sz w:val="24"/>
          <w:szCs w:val="24"/>
          <w:lang w:eastAsia="en-SG"/>
        </w:rPr>
        <w:t xml:space="preserve"> to the various concerns posed by DUs, </w:t>
      </w:r>
      <w:proofErr w:type="spellStart"/>
      <w:r w:rsidRPr="005F5F47">
        <w:rPr>
          <w:rFonts w:ascii="Times New Roman" w:eastAsia="Times New Roman" w:hAnsi="Times New Roman" w:cs="Times New Roman"/>
          <w:b/>
          <w:bCs/>
          <w:sz w:val="24"/>
          <w:szCs w:val="24"/>
          <w:lang w:eastAsia="en-SG"/>
        </w:rPr>
        <w:t>GenCos</w:t>
      </w:r>
      <w:proofErr w:type="spellEnd"/>
      <w:r w:rsidRPr="005F5F47">
        <w:rPr>
          <w:rFonts w:ascii="Times New Roman" w:eastAsia="Times New Roman" w:hAnsi="Times New Roman" w:cs="Times New Roman"/>
          <w:b/>
          <w:bCs/>
          <w:sz w:val="24"/>
          <w:szCs w:val="24"/>
          <w:lang w:eastAsia="en-SG"/>
        </w:rPr>
        <w:t xml:space="preserve"> and electric cooperatives.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Indeed, it is worth repeating that there is a doctrine of long-standing that courts will not interfere in matters that are addressed to the sound discretion of the government agency entrusted with regulation of activities coming under the special and technical training and knowledge of such agency.</w:t>
      </w:r>
      <w:r w:rsidRPr="005F5F47">
        <w:rPr>
          <w:rFonts w:ascii="Times New Roman" w:eastAsia="Times New Roman" w:hAnsi="Times New Roman" w:cs="Times New Roman"/>
          <w:color w:val="FF0000"/>
          <w:sz w:val="24"/>
          <w:szCs w:val="24"/>
          <w:vertAlign w:val="superscript"/>
          <w:lang w:eastAsia="en-SG"/>
        </w:rPr>
        <w:t>[101]</w:t>
      </w:r>
      <w:r w:rsidRPr="005F5F47">
        <w:rPr>
          <w:rFonts w:ascii="Times New Roman" w:eastAsia="Times New Roman" w:hAnsi="Times New Roman" w:cs="Times New Roman"/>
          <w:sz w:val="24"/>
          <w:szCs w:val="24"/>
          <w:lang w:eastAsia="en-SG"/>
        </w:rPr>
        <w:t xml:space="preserve"> For the exercise of administrative discretion is a policy decision that necessitates prior inquiry, investigation, comparison, evaluation, and deliberation.</w:t>
      </w:r>
      <w:r w:rsidRPr="005F5F47">
        <w:rPr>
          <w:rFonts w:ascii="Times New Roman" w:eastAsia="Times New Roman" w:hAnsi="Times New Roman" w:cs="Times New Roman"/>
          <w:color w:val="FF0000"/>
          <w:sz w:val="24"/>
          <w:szCs w:val="24"/>
          <w:vertAlign w:val="superscript"/>
          <w:lang w:eastAsia="en-SG"/>
        </w:rPr>
        <w:t>[102]</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b/>
          <w:bCs/>
          <w:i/>
          <w:iCs/>
          <w:sz w:val="24"/>
          <w:szCs w:val="24"/>
          <w:u w:val="single"/>
          <w:lang w:eastAsia="en-SG"/>
        </w:rPr>
        <w:t>This task can best be discharged by the government agency concerned and not by the courts.</w:t>
      </w:r>
      <w:r w:rsidRPr="005F5F47">
        <w:rPr>
          <w:rFonts w:ascii="Times New Roman" w:eastAsia="Times New Roman" w:hAnsi="Times New Roman" w:cs="Times New Roman"/>
          <w:color w:val="FF0000"/>
          <w:sz w:val="24"/>
          <w:szCs w:val="24"/>
          <w:vertAlign w:val="superscript"/>
          <w:lang w:eastAsia="en-SG"/>
        </w:rPr>
        <w:t>[103]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To be sure, the interpretation of an administrative government agency, which is tasked to implement a statute, is accorded great respect and ordinarily controls the construction of the courts.</w:t>
      </w:r>
      <w:r w:rsidRPr="005F5F47">
        <w:rPr>
          <w:rFonts w:ascii="Times New Roman" w:eastAsia="Times New Roman" w:hAnsi="Times New Roman" w:cs="Times New Roman"/>
          <w:color w:val="FF0000"/>
          <w:sz w:val="24"/>
          <w:szCs w:val="24"/>
          <w:vertAlign w:val="superscript"/>
          <w:lang w:eastAsia="en-SG"/>
        </w:rPr>
        <w:t>[104]</w:t>
      </w:r>
      <w:r w:rsidRPr="005F5F47">
        <w:rPr>
          <w:rFonts w:ascii="Times New Roman" w:eastAsia="Times New Roman" w:hAnsi="Times New Roman" w:cs="Times New Roman"/>
          <w:sz w:val="24"/>
          <w:szCs w:val="24"/>
          <w:lang w:eastAsia="en-SG"/>
        </w:rPr>
        <w:t xml:space="preserve"> The reason behind this rule was explained in </w:t>
      </w:r>
      <w:r w:rsidRPr="005F5F47">
        <w:rPr>
          <w:rFonts w:ascii="Times New Roman" w:eastAsia="Times New Roman" w:hAnsi="Times New Roman" w:cs="Times New Roman"/>
          <w:i/>
          <w:iCs/>
          <w:sz w:val="24"/>
          <w:szCs w:val="24"/>
          <w:lang w:eastAsia="en-SG"/>
        </w:rPr>
        <w:t>Nestle Philippines, Inc. v. Court of Appeals</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[105]</w:t>
      </w:r>
      <w:r w:rsidRPr="005F5F47">
        <w:rPr>
          <w:rFonts w:ascii="Times New Roman" w:eastAsia="Times New Roman" w:hAnsi="Times New Roman" w:cs="Times New Roman"/>
          <w:sz w:val="24"/>
          <w:szCs w:val="24"/>
          <w:lang w:eastAsia="en-SG"/>
        </w:rPr>
        <w:t xml:space="preserve"> in this wise:</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The rationale for this rule relates not only to the emergence of the multifarious needs of a modern or modernizing society and the establishment of diverse administrative agencies for addressing and satisfying those needs; it also relates to accumulation of experience and growth of specialized capabilities by the administrative agency charged with implementing a particular statute. In </w:t>
      </w:r>
      <w:r w:rsidRPr="005F5F47">
        <w:rPr>
          <w:rFonts w:ascii="Times New Roman" w:eastAsia="Times New Roman" w:hAnsi="Times New Roman" w:cs="Times New Roman"/>
          <w:i/>
          <w:iCs/>
          <w:sz w:val="24"/>
          <w:szCs w:val="24"/>
          <w:lang w:eastAsia="en-SG"/>
        </w:rPr>
        <w:t xml:space="preserve">Asturias Sugar Central, Inc. v. Commissioner of </w:t>
      </w:r>
      <w:proofErr w:type="gramStart"/>
      <w:r w:rsidRPr="005F5F47">
        <w:rPr>
          <w:rFonts w:ascii="Times New Roman" w:eastAsia="Times New Roman" w:hAnsi="Times New Roman" w:cs="Times New Roman"/>
          <w:i/>
          <w:iCs/>
          <w:sz w:val="24"/>
          <w:szCs w:val="24"/>
          <w:lang w:eastAsia="en-SG"/>
        </w:rPr>
        <w:t>Customs</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106]</w:t>
      </w:r>
      <w:r w:rsidRPr="005F5F47">
        <w:rPr>
          <w:rFonts w:ascii="Times New Roman" w:eastAsia="Times New Roman" w:hAnsi="Times New Roman" w:cs="Times New Roman"/>
          <w:sz w:val="24"/>
          <w:szCs w:val="24"/>
          <w:lang w:eastAsia="en-SG"/>
        </w:rPr>
        <w:t xml:space="preserve"> the Court stressed </w:t>
      </w:r>
      <w:r w:rsidRPr="005F5F47">
        <w:rPr>
          <w:rFonts w:ascii="Times New Roman" w:eastAsia="Times New Roman" w:hAnsi="Times New Roman" w:cs="Times New Roman"/>
          <w:b/>
          <w:bCs/>
          <w:sz w:val="24"/>
          <w:szCs w:val="24"/>
          <w:lang w:eastAsia="en-SG"/>
        </w:rPr>
        <w:t>that executive officials are presumed to have familiarized themselves with all the considerations pertinent to the meaning and purpose of the law, and to have formed an independent, conscientious and competent expert opinion thereon</w:t>
      </w:r>
      <w:r w:rsidRPr="005F5F47">
        <w:rPr>
          <w:rFonts w:ascii="Times New Roman" w:eastAsia="Times New Roman" w:hAnsi="Times New Roman" w:cs="Times New Roman"/>
          <w:sz w:val="24"/>
          <w:szCs w:val="24"/>
          <w:lang w:eastAsia="en-SG"/>
        </w:rPr>
        <w:t>. The courts give much weight to contemporaneous construction because of the respect due the government agency or officials charged with the implementation of the law, their competence, expertness, experience and informed judgment, and the fact that they frequently are the drafters of the law they interpret.</w:t>
      </w:r>
      <w:r w:rsidRPr="005F5F47">
        <w:rPr>
          <w:rFonts w:ascii="Times New Roman" w:eastAsia="Times New Roman" w:hAnsi="Times New Roman" w:cs="Times New Roman"/>
          <w:color w:val="FF0000"/>
          <w:sz w:val="24"/>
          <w:szCs w:val="24"/>
          <w:vertAlign w:val="superscript"/>
          <w:lang w:eastAsia="en-SG"/>
        </w:rPr>
        <w:t>[107]</w:t>
      </w:r>
      <w:r w:rsidRPr="005F5F47">
        <w:rPr>
          <w:rFonts w:ascii="Times New Roman" w:eastAsia="Times New Roman" w:hAnsi="Times New Roman" w:cs="Times New Roman"/>
          <w:sz w:val="24"/>
          <w:szCs w:val="24"/>
          <w:lang w:eastAsia="en-SG"/>
        </w:rPr>
        <w:t xml:space="preserve"> (Emphasis supplied)</w:t>
      </w:r>
    </w:p>
    <w:p w:rsidR="005F5F47" w:rsidRPr="005F5F47" w:rsidRDefault="005F5F47" w:rsidP="005F5F47">
      <w:pPr>
        <w:spacing w:after="24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Thus, I submit anew that the Court stepped out of bounds in annulling the acts of a regulator acting within the bounds of law and its area of expertise. Indeed, this sends a chilling effect on all regulators. This is true in this case because the acts of the ERC have been made the basis of administrative and criminal complaints.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lastRenderedPageBreak/>
        <w:br/>
        <w:t>While an action by an administrative agency may be set aside by the judicial department, it must only be done if there is abuse of power, lack of jurisdiction or grave abuse of discretion clearly conflicting with the letter and spirit of the law</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108]</w:t>
      </w:r>
      <w:r w:rsidRPr="005F5F47">
        <w:rPr>
          <w:rFonts w:ascii="Times New Roman" w:eastAsia="Times New Roman" w:hAnsi="Times New Roman" w:cs="Times New Roman"/>
          <w:sz w:val="24"/>
          <w:szCs w:val="24"/>
          <w:lang w:eastAsia="en-SG"/>
        </w:rPr>
        <w:t xml:space="preserve"> There is no such situation here. There is no cogent reason to hold that the ERC acted with grave abuse of discretion amounting to lack or excess of jurisdiction.</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pict>
          <v:rect id="_x0000_i1040" style="width:270.8pt;height:.75pt" o:hrpct="600" o:hrstd="t" o:hrnoshade="t" o:hr="t" fillcolor="#a0a0a0" stroked="f"/>
        </w:pic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color w:val="FF0000"/>
          <w:sz w:val="24"/>
          <w:szCs w:val="24"/>
          <w:vertAlign w:val="superscript"/>
          <w:lang w:eastAsia="en-SG"/>
        </w:rPr>
        <w:t>[1]</w:t>
      </w:r>
      <w:r w:rsidRPr="005F5F47">
        <w:rPr>
          <w:rFonts w:ascii="Times New Roman" w:eastAsia="Times New Roman" w:hAnsi="Times New Roman" w:cs="Times New Roman"/>
          <w:sz w:val="24"/>
          <w:szCs w:val="24"/>
          <w:lang w:eastAsia="en-SG"/>
        </w:rPr>
        <w:t xml:space="preserve"> Republic Act No. 9136, entitled "An Act Ordaining Reforms in the Electric Power Industry Amending for the Purpose Certain Laws and For Other Purposes" (EPIRA).</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w:t>
      </w:r>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i/>
          <w:iCs/>
          <w:sz w:val="24"/>
          <w:szCs w:val="24"/>
          <w:lang w:eastAsia="en-SG"/>
        </w:rPr>
        <w:t>Yazaki</w:t>
      </w:r>
      <w:proofErr w:type="spellEnd"/>
      <w:r w:rsidRPr="005F5F47">
        <w:rPr>
          <w:rFonts w:ascii="Times New Roman" w:eastAsia="Times New Roman" w:hAnsi="Times New Roman" w:cs="Times New Roman"/>
          <w:i/>
          <w:iCs/>
          <w:sz w:val="24"/>
          <w:szCs w:val="24"/>
          <w:lang w:eastAsia="en-SG"/>
        </w:rPr>
        <w:t xml:space="preserve"> Torres Manufacturing, Inc. v. Court of Appeals</w:t>
      </w:r>
      <w:r w:rsidRPr="005F5F47">
        <w:rPr>
          <w:rFonts w:ascii="Times New Roman" w:eastAsia="Times New Roman" w:hAnsi="Times New Roman" w:cs="Times New Roman"/>
          <w:sz w:val="24"/>
          <w:szCs w:val="24"/>
          <w:lang w:eastAsia="en-SG"/>
        </w:rPr>
        <w:t>, 526 Phil. 79, 88 (2006).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Bureau Veritas v. Office of the President</w:t>
      </w:r>
      <w:r w:rsidRPr="005F5F47">
        <w:rPr>
          <w:rFonts w:ascii="Times New Roman" w:eastAsia="Times New Roman" w:hAnsi="Times New Roman" w:cs="Times New Roman"/>
          <w:sz w:val="24"/>
          <w:szCs w:val="24"/>
          <w:lang w:eastAsia="en-SG"/>
        </w:rPr>
        <w:t>, 282 Phil, 734, 747 (1992).</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w:t>
      </w:r>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i/>
          <w:iCs/>
          <w:sz w:val="24"/>
          <w:szCs w:val="24"/>
          <w:lang w:eastAsia="en-SG"/>
        </w:rPr>
        <w:t>Yazaki</w:t>
      </w:r>
      <w:proofErr w:type="spellEnd"/>
      <w:r w:rsidRPr="005F5F47">
        <w:rPr>
          <w:rFonts w:ascii="Times New Roman" w:eastAsia="Times New Roman" w:hAnsi="Times New Roman" w:cs="Times New Roman"/>
          <w:i/>
          <w:iCs/>
          <w:sz w:val="24"/>
          <w:szCs w:val="24"/>
          <w:lang w:eastAsia="en-SG"/>
        </w:rPr>
        <w:t xml:space="preserve"> Torres Manufacturing, Inc. v. Court of Appeals</w:t>
      </w:r>
      <w:r w:rsidRPr="005F5F47">
        <w:rPr>
          <w:rFonts w:ascii="Times New Roman" w:eastAsia="Times New Roman" w:hAnsi="Times New Roman" w:cs="Times New Roman"/>
          <w:sz w:val="24"/>
          <w:szCs w:val="24"/>
          <w:lang w:eastAsia="en-SG"/>
        </w:rPr>
        <w:t>, supra note 2, at 88.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w:t>
      </w:r>
      <w:r w:rsidRPr="005F5F47">
        <w:rPr>
          <w:rFonts w:ascii="Times New Roman" w:eastAsia="Times New Roman" w:hAnsi="Times New Roman" w:cs="Times New Roman"/>
          <w:sz w:val="24"/>
          <w:szCs w:val="24"/>
          <w:lang w:eastAsia="en-SG"/>
        </w:rPr>
        <w:t xml:space="preserve"> DOE Circular, Sec. 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w:t>
      </w:r>
      <w:r w:rsidRPr="005F5F47">
        <w:rPr>
          <w:rFonts w:ascii="Times New Roman" w:eastAsia="Times New Roman" w:hAnsi="Times New Roman" w:cs="Times New Roman"/>
          <w:sz w:val="24"/>
          <w:szCs w:val="24"/>
          <w:lang w:eastAsia="en-SG"/>
        </w:rPr>
        <w:t xml:space="preserve"> ERC Resolution No. 13, Sec. 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w:t>
      </w:r>
      <w:r w:rsidRPr="005F5F47">
        <w:rPr>
          <w:rFonts w:ascii="Times New Roman" w:eastAsia="Times New Roman" w:hAnsi="Times New Roman" w:cs="Times New Roman"/>
          <w:sz w:val="24"/>
          <w:szCs w:val="24"/>
          <w:lang w:eastAsia="en-SG"/>
        </w:rPr>
        <w:t xml:space="preserve"> G.R. No. 217158, March 12, 2019.</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w:t>
      </w:r>
      <w:r w:rsidRPr="005F5F47">
        <w:rPr>
          <w:rFonts w:ascii="Times New Roman" w:eastAsia="Times New Roman" w:hAnsi="Times New Roman" w:cs="Times New Roman"/>
          <w:sz w:val="24"/>
          <w:szCs w:val="24"/>
          <w:lang w:eastAsia="en-SG"/>
        </w:rPr>
        <w:t xml:space="preserve"> Id. at 14.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[10]</w:t>
      </w:r>
      <w:r w:rsidRPr="005F5F47">
        <w:rPr>
          <w:rFonts w:ascii="Times New Roman" w:eastAsia="Times New Roman" w:hAnsi="Times New Roman" w:cs="Times New Roman"/>
          <w:sz w:val="24"/>
          <w:szCs w:val="24"/>
          <w:lang w:eastAsia="en-SG"/>
        </w:rPr>
        <w:t xml:space="preserve"> Id. at 35-36. Emphasis and underscoring supplied.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[11]</w:t>
      </w:r>
      <w:r w:rsidRPr="005F5F47">
        <w:rPr>
          <w:rFonts w:ascii="Times New Roman" w:eastAsia="Times New Roman" w:hAnsi="Times New Roman" w:cs="Times New Roman"/>
          <w:sz w:val="24"/>
          <w:szCs w:val="24"/>
          <w:lang w:eastAsia="en-SG"/>
        </w:rPr>
        <w:t xml:space="preserve"> Id. at 37.</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[12]</w:t>
      </w:r>
      <w:r w:rsidRPr="005F5F47">
        <w:rPr>
          <w:rFonts w:ascii="Times New Roman" w:eastAsia="Times New Roman" w:hAnsi="Times New Roman" w:cs="Times New Roman"/>
          <w:sz w:val="24"/>
          <w:szCs w:val="24"/>
          <w:lang w:eastAsia="en-SG"/>
        </w:rPr>
        <w:t xml:space="preserve"> ERC RULES OF PRACTICE AND PROCEDURE (ERC RULES), Rule 20(B), Sec. 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[13]</w:t>
      </w:r>
      <w:r w:rsidRPr="005F5F47">
        <w:rPr>
          <w:rFonts w:ascii="Times New Roman" w:eastAsia="Times New Roman" w:hAnsi="Times New Roman" w:cs="Times New Roman"/>
          <w:sz w:val="24"/>
          <w:szCs w:val="24"/>
          <w:lang w:eastAsia="en-SG"/>
        </w:rPr>
        <w:t xml:space="preserve"> EPIRA, Sec. 45.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[14]</w:t>
      </w:r>
      <w:r w:rsidRPr="005F5F47">
        <w:rPr>
          <w:rFonts w:ascii="Times New Roman" w:eastAsia="Times New Roman" w:hAnsi="Times New Roman" w:cs="Times New Roman"/>
          <w:sz w:val="24"/>
          <w:szCs w:val="24"/>
          <w:lang w:eastAsia="en-SG"/>
        </w:rPr>
        <w:t xml:space="preserve"> ERC RULES, Rule 20(B), Sec. 2.</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[15]</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[16]</w:t>
      </w:r>
      <w:r w:rsidRPr="005F5F47">
        <w:rPr>
          <w:rFonts w:ascii="Times New Roman" w:eastAsia="Times New Roman" w:hAnsi="Times New Roman" w:cs="Times New Roman"/>
          <w:sz w:val="24"/>
          <w:szCs w:val="24"/>
          <w:lang w:eastAsia="en-SG"/>
        </w:rPr>
        <w:t xml:space="preserve"> Id., Rule 20(B), Sec. </w:t>
      </w:r>
      <w:proofErr w:type="gramStart"/>
      <w:r w:rsidRPr="005F5F47">
        <w:rPr>
          <w:rFonts w:ascii="Times New Roman" w:eastAsia="Times New Roman" w:hAnsi="Times New Roman" w:cs="Times New Roman"/>
          <w:sz w:val="24"/>
          <w:szCs w:val="24"/>
          <w:lang w:eastAsia="en-SG"/>
        </w:rPr>
        <w:t>2(k</w:t>
      </w:r>
      <w:proofErr w:type="gramEnd"/>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[17]</w:t>
      </w:r>
      <w:r w:rsidRPr="005F5F47">
        <w:rPr>
          <w:rFonts w:ascii="Times New Roman" w:eastAsia="Times New Roman" w:hAnsi="Times New Roman" w:cs="Times New Roman"/>
          <w:sz w:val="24"/>
          <w:szCs w:val="24"/>
          <w:lang w:eastAsia="en-SG"/>
        </w:rPr>
        <w:t xml:space="preserve"> Id., Rule 20(B), Sec. 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[18]</w:t>
      </w:r>
      <w:r w:rsidRPr="005F5F47">
        <w:rPr>
          <w:rFonts w:ascii="Times New Roman" w:eastAsia="Times New Roman" w:hAnsi="Times New Roman" w:cs="Times New Roman"/>
          <w:sz w:val="24"/>
          <w:szCs w:val="24"/>
          <w:lang w:eastAsia="en-SG"/>
        </w:rPr>
        <w:t xml:space="preserve"> Id., Rule 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[19]</w:t>
      </w:r>
      <w:r w:rsidRPr="005F5F47">
        <w:rPr>
          <w:rFonts w:ascii="Times New Roman" w:eastAsia="Times New Roman" w:hAnsi="Times New Roman" w:cs="Times New Roman"/>
          <w:sz w:val="24"/>
          <w:szCs w:val="24"/>
          <w:lang w:eastAsia="en-SG"/>
        </w:rPr>
        <w:t xml:space="preserve"> Id., Rule 13, Sec. 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[20]</w:t>
      </w:r>
      <w:r w:rsidRPr="005F5F47">
        <w:rPr>
          <w:rFonts w:ascii="Times New Roman" w:eastAsia="Times New Roman" w:hAnsi="Times New Roman" w:cs="Times New Roman"/>
          <w:sz w:val="24"/>
          <w:szCs w:val="24"/>
          <w:lang w:eastAsia="en-SG"/>
        </w:rPr>
        <w:t xml:space="preserve"> Id., Rule 13, Sec. 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[21]</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lastRenderedPageBreak/>
        <w:br/>
      </w:r>
      <w:r w:rsidRPr="005F5F47">
        <w:rPr>
          <w:rFonts w:ascii="Times New Roman" w:eastAsia="Times New Roman" w:hAnsi="Times New Roman" w:cs="Times New Roman"/>
          <w:color w:val="FF0000"/>
          <w:sz w:val="24"/>
          <w:szCs w:val="24"/>
          <w:vertAlign w:val="superscript"/>
          <w:lang w:eastAsia="en-SG"/>
        </w:rPr>
        <w:t>[22]</w:t>
      </w:r>
      <w:r w:rsidRPr="005F5F47">
        <w:rPr>
          <w:rFonts w:ascii="Times New Roman" w:eastAsia="Times New Roman" w:hAnsi="Times New Roman" w:cs="Times New Roman"/>
          <w:sz w:val="24"/>
          <w:szCs w:val="24"/>
          <w:lang w:eastAsia="en-SG"/>
        </w:rPr>
        <w:t xml:space="preserve"> Id., Rule 16, Sec. 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[23]</w:t>
      </w:r>
      <w:r w:rsidRPr="005F5F47">
        <w:rPr>
          <w:rFonts w:ascii="Times New Roman" w:eastAsia="Times New Roman" w:hAnsi="Times New Roman" w:cs="Times New Roman"/>
          <w:sz w:val="24"/>
          <w:szCs w:val="24"/>
          <w:lang w:eastAsia="en-SG"/>
        </w:rPr>
        <w:t xml:space="preserve"> Id., Rule 16, Sec. 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[24]</w:t>
      </w:r>
      <w:r w:rsidRPr="005F5F47">
        <w:rPr>
          <w:rFonts w:ascii="Times New Roman" w:eastAsia="Times New Roman" w:hAnsi="Times New Roman" w:cs="Times New Roman"/>
          <w:sz w:val="24"/>
          <w:szCs w:val="24"/>
          <w:lang w:eastAsia="en-SG"/>
        </w:rPr>
        <w:t xml:space="preserve"> Id., Rule 18, Sec. 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[25]</w:t>
      </w:r>
      <w:r w:rsidRPr="005F5F47">
        <w:rPr>
          <w:rFonts w:ascii="Times New Roman" w:eastAsia="Times New Roman" w:hAnsi="Times New Roman" w:cs="Times New Roman"/>
          <w:sz w:val="24"/>
          <w:szCs w:val="24"/>
          <w:lang w:eastAsia="en-SG"/>
        </w:rPr>
        <w:t xml:space="preserve"> Id., Rule 18.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[26]</w:t>
      </w:r>
      <w:r w:rsidRPr="005F5F47">
        <w:rPr>
          <w:rFonts w:ascii="Times New Roman" w:eastAsia="Times New Roman" w:hAnsi="Times New Roman" w:cs="Times New Roman"/>
          <w:sz w:val="24"/>
          <w:szCs w:val="24"/>
          <w:lang w:eastAsia="en-SG"/>
        </w:rPr>
        <w:t xml:space="preserve"> Id., Rule 20(B).</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[27]</w:t>
      </w:r>
      <w:r w:rsidRPr="005F5F47">
        <w:rPr>
          <w:rFonts w:ascii="Times New Roman" w:eastAsia="Times New Roman" w:hAnsi="Times New Roman" w:cs="Times New Roman"/>
          <w:sz w:val="24"/>
          <w:szCs w:val="24"/>
          <w:lang w:eastAsia="en-SG"/>
        </w:rPr>
        <w:t xml:space="preserve"> Id., Rule 14, Sec. 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[28]</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[29]</w:t>
      </w:r>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p. 13.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[30]</w:t>
      </w:r>
      <w:r w:rsidRPr="005F5F47">
        <w:rPr>
          <w:rFonts w:ascii="Times New Roman" w:eastAsia="Times New Roman" w:hAnsi="Times New Roman" w:cs="Times New Roman"/>
          <w:sz w:val="24"/>
          <w:szCs w:val="24"/>
          <w:lang w:eastAsia="en-SG"/>
        </w:rPr>
        <w:t xml:space="preserve"> EPIRA, Sec. 37(e</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t>ii).</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[31]</w:t>
      </w:r>
      <w:r w:rsidRPr="005F5F47">
        <w:rPr>
          <w:rFonts w:ascii="Times New Roman" w:eastAsia="Times New Roman" w:hAnsi="Times New Roman" w:cs="Times New Roman"/>
          <w:sz w:val="24"/>
          <w:szCs w:val="24"/>
          <w:lang w:eastAsia="en-SG"/>
        </w:rPr>
        <w:t xml:space="preserve"> Id., Sec. 23.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[32]</w:t>
      </w:r>
      <w:r w:rsidRPr="005F5F47">
        <w:rPr>
          <w:rFonts w:ascii="Times New Roman" w:eastAsia="Times New Roman" w:hAnsi="Times New Roman" w:cs="Times New Roman"/>
          <w:sz w:val="24"/>
          <w:szCs w:val="24"/>
          <w:lang w:eastAsia="en-SG"/>
        </w:rPr>
        <w:t xml:space="preserve"> DOE Circular, Sec. 3.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[33]</w:t>
      </w:r>
      <w:r w:rsidRPr="005F5F47">
        <w:rPr>
          <w:rFonts w:ascii="Times New Roman" w:eastAsia="Times New Roman" w:hAnsi="Times New Roman" w:cs="Times New Roman"/>
          <w:sz w:val="24"/>
          <w:szCs w:val="24"/>
          <w:lang w:eastAsia="en-SG"/>
        </w:rPr>
        <w:t xml:space="preserve"> Id. Sec. 1.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[34]</w:t>
      </w:r>
      <w:r w:rsidRPr="005F5F47">
        <w:rPr>
          <w:rFonts w:ascii="Times New Roman" w:eastAsia="Times New Roman" w:hAnsi="Times New Roman" w:cs="Times New Roman"/>
          <w:sz w:val="24"/>
          <w:szCs w:val="24"/>
          <w:lang w:eastAsia="en-SG"/>
        </w:rPr>
        <w:t xml:space="preserve"> EPIRA, Sec. </w:t>
      </w:r>
      <w:proofErr w:type="gramStart"/>
      <w:r w:rsidRPr="005F5F47">
        <w:rPr>
          <w:rFonts w:ascii="Times New Roman" w:eastAsia="Times New Roman" w:hAnsi="Times New Roman" w:cs="Times New Roman"/>
          <w:sz w:val="24"/>
          <w:szCs w:val="24"/>
          <w:lang w:eastAsia="en-SG"/>
        </w:rPr>
        <w:t>2(c</w:t>
      </w:r>
      <w:proofErr w:type="gramEnd"/>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[35]</w:t>
      </w:r>
      <w:r w:rsidRPr="005F5F47">
        <w:rPr>
          <w:rFonts w:ascii="Times New Roman" w:eastAsia="Times New Roman" w:hAnsi="Times New Roman" w:cs="Times New Roman"/>
          <w:sz w:val="24"/>
          <w:szCs w:val="24"/>
          <w:lang w:eastAsia="en-SG"/>
        </w:rPr>
        <w:t xml:space="preserve"> Id., Sec. 23.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[36]</w:t>
      </w:r>
      <w:r w:rsidRPr="005F5F47">
        <w:rPr>
          <w:rFonts w:ascii="Times New Roman" w:eastAsia="Times New Roman" w:hAnsi="Times New Roman" w:cs="Times New Roman"/>
          <w:sz w:val="24"/>
          <w:szCs w:val="24"/>
          <w:lang w:eastAsia="en-SG"/>
        </w:rPr>
        <w:t xml:space="preserve"> Id., Sec. 45.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[37]</w:t>
      </w:r>
      <w:r w:rsidRPr="005F5F47">
        <w:rPr>
          <w:rFonts w:ascii="Times New Roman" w:eastAsia="Times New Roman" w:hAnsi="Times New Roman" w:cs="Times New Roman"/>
          <w:sz w:val="24"/>
          <w:szCs w:val="24"/>
          <w:lang w:eastAsia="en-SG"/>
        </w:rPr>
        <w:t xml:space="preserve"> Deliberations of EPIRA, May 30, 2000 Session, pp. 8-10.</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[38]</w:t>
      </w:r>
      <w:r w:rsidRPr="005F5F47">
        <w:rPr>
          <w:rFonts w:ascii="Times New Roman" w:eastAsia="Times New Roman" w:hAnsi="Times New Roman" w:cs="Times New Roman"/>
          <w:sz w:val="24"/>
          <w:szCs w:val="24"/>
          <w:lang w:eastAsia="en-SG"/>
        </w:rPr>
        <w:t xml:space="preserve"> EPIRA, Sec. </w:t>
      </w:r>
      <w:proofErr w:type="gramStart"/>
      <w:r w:rsidRPr="005F5F47">
        <w:rPr>
          <w:rFonts w:ascii="Times New Roman" w:eastAsia="Times New Roman" w:hAnsi="Times New Roman" w:cs="Times New Roman"/>
          <w:sz w:val="24"/>
          <w:szCs w:val="24"/>
          <w:lang w:eastAsia="en-SG"/>
        </w:rPr>
        <w:t>43(f</w:t>
      </w:r>
      <w:proofErr w:type="gramEnd"/>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[39]</w:t>
      </w:r>
      <w:r w:rsidRPr="005F5F47">
        <w:rPr>
          <w:rFonts w:ascii="Times New Roman" w:eastAsia="Times New Roman" w:hAnsi="Times New Roman" w:cs="Times New Roman"/>
          <w:sz w:val="24"/>
          <w:szCs w:val="24"/>
          <w:lang w:eastAsia="en-SG"/>
        </w:rPr>
        <w:t xml:space="preserve"> IRR of EPIRA, Rule 11.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[40]</w:t>
      </w:r>
      <w:r w:rsidRPr="005F5F47">
        <w:rPr>
          <w:rFonts w:ascii="Times New Roman" w:eastAsia="Times New Roman" w:hAnsi="Times New Roman" w:cs="Times New Roman"/>
          <w:sz w:val="24"/>
          <w:szCs w:val="24"/>
          <w:lang w:eastAsia="en-SG"/>
        </w:rPr>
        <w:t xml:space="preserve"> Id., Rule 11, Sec. </w:t>
      </w:r>
      <w:proofErr w:type="gramStart"/>
      <w:r w:rsidRPr="005F5F47">
        <w:rPr>
          <w:rFonts w:ascii="Times New Roman" w:eastAsia="Times New Roman" w:hAnsi="Times New Roman" w:cs="Times New Roman"/>
          <w:sz w:val="24"/>
          <w:szCs w:val="24"/>
          <w:lang w:eastAsia="en-SG"/>
        </w:rPr>
        <w:t>8(e</w:t>
      </w:r>
      <w:proofErr w:type="gramEnd"/>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[41]</w:t>
      </w:r>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p. 35.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[42]</w:t>
      </w:r>
      <w:r w:rsidRPr="005F5F47">
        <w:rPr>
          <w:rFonts w:ascii="Times New Roman" w:eastAsia="Times New Roman" w:hAnsi="Times New Roman" w:cs="Times New Roman"/>
          <w:sz w:val="24"/>
          <w:szCs w:val="24"/>
          <w:lang w:eastAsia="en-SG"/>
        </w:rPr>
        <w:t xml:space="preserve"> Id. at 13.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[43]</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[44]</w:t>
      </w:r>
      <w:r w:rsidRPr="005F5F47">
        <w:rPr>
          <w:rFonts w:ascii="Times New Roman" w:eastAsia="Times New Roman" w:hAnsi="Times New Roman" w:cs="Times New Roman"/>
          <w:sz w:val="24"/>
          <w:szCs w:val="24"/>
          <w:lang w:eastAsia="en-SG"/>
        </w:rPr>
        <w:t xml:space="preserve"> Id., at 8. As stated earlier, this argument is premised on factual assertions that have not been tested in the crucible of trial.</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[45]</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Rollo</w:t>
      </w:r>
      <w:r w:rsidRPr="005F5F47">
        <w:rPr>
          <w:rFonts w:ascii="Times New Roman" w:eastAsia="Times New Roman" w:hAnsi="Times New Roman" w:cs="Times New Roman"/>
          <w:sz w:val="24"/>
          <w:szCs w:val="24"/>
          <w:lang w:eastAsia="en-SG"/>
        </w:rPr>
        <w:t>, p. 1210.</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lastRenderedPageBreak/>
        <w:t>[46]</w:t>
      </w:r>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p. 16.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[47]</w:t>
      </w:r>
      <w:r w:rsidRPr="005F5F47">
        <w:rPr>
          <w:rFonts w:ascii="Times New Roman" w:eastAsia="Times New Roman" w:hAnsi="Times New Roman" w:cs="Times New Roman"/>
          <w:sz w:val="24"/>
          <w:szCs w:val="24"/>
          <w:lang w:eastAsia="en-SG"/>
        </w:rPr>
        <w:t xml:space="preserve"> Id. at 21.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[48]</w:t>
      </w:r>
      <w:r w:rsidRPr="005F5F47">
        <w:rPr>
          <w:rFonts w:ascii="Times New Roman" w:eastAsia="Times New Roman" w:hAnsi="Times New Roman" w:cs="Times New Roman"/>
          <w:sz w:val="24"/>
          <w:szCs w:val="24"/>
          <w:lang w:eastAsia="en-SG"/>
        </w:rPr>
        <w:t xml:space="preserve"> Deliberations of EPIRA, May 29, 2000 Session, pp. 31-32.</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[49]</w:t>
      </w:r>
      <w:r w:rsidRPr="005F5F47">
        <w:rPr>
          <w:rFonts w:ascii="Times New Roman" w:eastAsia="Times New Roman" w:hAnsi="Times New Roman" w:cs="Times New Roman"/>
          <w:sz w:val="24"/>
          <w:szCs w:val="24"/>
          <w:lang w:eastAsia="en-SG"/>
        </w:rPr>
        <w:t xml:space="preserve"> 476 Phil. 134 (2004).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[50]</w:t>
      </w:r>
      <w:r w:rsidRPr="005F5F47">
        <w:rPr>
          <w:rFonts w:ascii="Times New Roman" w:eastAsia="Times New Roman" w:hAnsi="Times New Roman" w:cs="Times New Roman"/>
          <w:sz w:val="24"/>
          <w:szCs w:val="24"/>
          <w:lang w:eastAsia="en-SG"/>
        </w:rPr>
        <w:t xml:space="preserve"> Id. at 184-185.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[51]</w:t>
      </w:r>
      <w:r w:rsidRPr="005F5F47">
        <w:rPr>
          <w:rFonts w:ascii="Times New Roman" w:eastAsia="Times New Roman" w:hAnsi="Times New Roman" w:cs="Times New Roman"/>
          <w:sz w:val="24"/>
          <w:szCs w:val="24"/>
          <w:lang w:eastAsia="en-SG"/>
        </w:rPr>
        <w:t xml:space="preserve"> SECTION 37. </w:t>
      </w:r>
      <w:r w:rsidRPr="005F5F47">
        <w:rPr>
          <w:rFonts w:ascii="Times New Roman" w:eastAsia="Times New Roman" w:hAnsi="Times New Roman" w:cs="Times New Roman"/>
          <w:i/>
          <w:iCs/>
          <w:sz w:val="24"/>
          <w:szCs w:val="24"/>
          <w:lang w:eastAsia="en-SG"/>
        </w:rPr>
        <w:t>Powers and Functions of the DOE</w:t>
      </w:r>
      <w:r w:rsidRPr="005F5F47">
        <w:rPr>
          <w:rFonts w:ascii="Times New Roman" w:eastAsia="Times New Roman" w:hAnsi="Times New Roman" w:cs="Times New Roman"/>
          <w:sz w:val="24"/>
          <w:szCs w:val="24"/>
          <w:lang w:eastAsia="en-SG"/>
        </w:rPr>
        <w:t>. — In addition to its existing powers and functions, the DOE is hereby mandated to supervise the restructuring of the electricity industry. In pursuance thereof, Section 5 of RA 7638 otherwise known as "The Department of Energy Act of 1992" is hereby amended to read as follows: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"(a) Formulate policies for the planning and implementation of a comprehensive program for the efficient supply and economical use of energy consistent with the approved national economic plan and with the policies on environmental protection and conservation and maintenance of ecological balance, and provide a mechanism for the integration, rationalization, and coordination of the various energy programs of the Government;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(b) Develop and update annually the existing Philippine Energy Plan, hereinafter referred to as 'The Plan', which shall provide for an integrated and comprehensive exploration, development, utilization, distribution, and conservation of energy resources, with preferential bias for environment-friendly, indigenous, and low-cost sources of energy. The plan shall include a policy direction towards the privatization of government agencies related to energy, deregulation of the power and energy industry, and reduction of dependency on oil-fired plants. Said Plan shall be submitted to Congress not later than the fifteenth day of September and every year thereafter</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(c) Prepare and update annually a Power Development Program (PDP) and integrate the same into the Philippine Energy Plan. The PDP shall consider and integrate the individual or joint development plans of the transmission, generation, and distribution sectors of the electric power industry, which are submitted to the Department: </w:t>
      </w:r>
      <w:r w:rsidRPr="005F5F47">
        <w:rPr>
          <w:rFonts w:ascii="Times New Roman" w:eastAsia="Times New Roman" w:hAnsi="Times New Roman" w:cs="Times New Roman"/>
          <w:i/>
          <w:iCs/>
          <w:sz w:val="24"/>
          <w:szCs w:val="24"/>
          <w:lang w:eastAsia="en-SG"/>
        </w:rPr>
        <w:t>Provided, however</w:t>
      </w:r>
      <w:r w:rsidRPr="005F5F47">
        <w:rPr>
          <w:rFonts w:ascii="Times New Roman" w:eastAsia="Times New Roman" w:hAnsi="Times New Roman" w:cs="Times New Roman"/>
          <w:sz w:val="24"/>
          <w:szCs w:val="24"/>
          <w:lang w:eastAsia="en-SG"/>
        </w:rPr>
        <w:t>, That the ERC shall have exclusive authority covering the Grid Code and the pertinent rules and regulations it may issue;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(d) Ensure the reliability, quality and security of supply of electric power;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(e) Following the restructuring of the electricity sector, the DOE shall, among others: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w:t>
      </w:r>
      <w:proofErr w:type="spellStart"/>
      <w:r w:rsidRPr="005F5F47">
        <w:rPr>
          <w:rFonts w:ascii="Times New Roman" w:eastAsia="Times New Roman" w:hAnsi="Times New Roman" w:cs="Times New Roman"/>
          <w:sz w:val="24"/>
          <w:szCs w:val="24"/>
          <w:lang w:eastAsia="en-SG"/>
        </w:rPr>
        <w:t>i</w:t>
      </w:r>
      <w:proofErr w:type="spellEnd"/>
      <w:r w:rsidRPr="005F5F47">
        <w:rPr>
          <w:rFonts w:ascii="Times New Roman" w:eastAsia="Times New Roman" w:hAnsi="Times New Roman" w:cs="Times New Roman"/>
          <w:sz w:val="24"/>
          <w:szCs w:val="24"/>
          <w:lang w:eastAsia="en-SG"/>
        </w:rPr>
        <w:t>) Encourage private sector investments in the electricity sector and promote development of indigenous and renewable energy sources;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(ii) Facilitate and encourage reforms in the structure and operations of distribution utilities for greater efficiency and lower costs;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(iii) In consultation with other government agencies, promote a system of incentives to encourage industry participants, including new generating companies and end-users to provide adequate and reliable electric supply; and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lastRenderedPageBreak/>
        <w:t>(iv) Undertake, in coordination with the ERC, NPC, NEA and the Philippine Information Agency (PIA), information campaign to educate the public on the restructuring of the electricity sector and privatization of NPC assets;</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(f) Jointly with the electric power industry participants, establish the wholesale electricity spot market and formulate the detailed rules governing the operations thereof;</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(g) Establish and administer programs for the exploration, transportation, marketing, distribution, utilization, conservation, stockpiling, and storage of energy resources of all forms, whether conventional or non-conventional;</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(h) Exercise supervision and control over all government activities relative to energy projects in order to attain the goals embodied in Section 2 of RA 7638;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w:t>
      </w:r>
      <w:proofErr w:type="spellStart"/>
      <w:r w:rsidRPr="005F5F47">
        <w:rPr>
          <w:rFonts w:ascii="Times New Roman" w:eastAsia="Times New Roman" w:hAnsi="Times New Roman" w:cs="Times New Roman"/>
          <w:sz w:val="24"/>
          <w:szCs w:val="24"/>
          <w:lang w:eastAsia="en-SG"/>
        </w:rPr>
        <w:t>i</w:t>
      </w:r>
      <w:proofErr w:type="spellEnd"/>
      <w:r w:rsidRPr="005F5F47">
        <w:rPr>
          <w:rFonts w:ascii="Times New Roman" w:eastAsia="Times New Roman" w:hAnsi="Times New Roman" w:cs="Times New Roman"/>
          <w:sz w:val="24"/>
          <w:szCs w:val="24"/>
          <w:lang w:eastAsia="en-SG"/>
        </w:rPr>
        <w:t>) Develop policies and procedures and, as appropriate, promote a system of energy development incentives to enable and encourage electric power industry participants to provide adequate capacity to meet demand including, among others, reserve requirements;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(j) Monitor private sector activities relative to energy projects in order to attain the goals of the restructuring, privatization, and modernization of the electric power sector as provided for under existing laws: </w:t>
      </w:r>
      <w:r w:rsidRPr="005F5F47">
        <w:rPr>
          <w:rFonts w:ascii="Times New Roman" w:eastAsia="Times New Roman" w:hAnsi="Times New Roman" w:cs="Times New Roman"/>
          <w:i/>
          <w:iCs/>
          <w:sz w:val="24"/>
          <w:szCs w:val="24"/>
          <w:lang w:eastAsia="en-SG"/>
        </w:rPr>
        <w:t>Provided</w:t>
      </w:r>
      <w:r w:rsidRPr="005F5F47">
        <w:rPr>
          <w:rFonts w:ascii="Times New Roman" w:eastAsia="Times New Roman" w:hAnsi="Times New Roman" w:cs="Times New Roman"/>
          <w:sz w:val="24"/>
          <w:szCs w:val="24"/>
          <w:lang w:eastAsia="en-SG"/>
        </w:rPr>
        <w:t xml:space="preserve">, That the Department shall </w:t>
      </w:r>
      <w:proofErr w:type="spellStart"/>
      <w:r w:rsidRPr="005F5F47">
        <w:rPr>
          <w:rFonts w:ascii="Times New Roman" w:eastAsia="Times New Roman" w:hAnsi="Times New Roman" w:cs="Times New Roman"/>
          <w:sz w:val="24"/>
          <w:szCs w:val="24"/>
          <w:lang w:eastAsia="en-SG"/>
        </w:rPr>
        <w:t>endeavor</w:t>
      </w:r>
      <w:proofErr w:type="spellEnd"/>
      <w:r w:rsidRPr="005F5F47">
        <w:rPr>
          <w:rFonts w:ascii="Times New Roman" w:eastAsia="Times New Roman" w:hAnsi="Times New Roman" w:cs="Times New Roman"/>
          <w:sz w:val="24"/>
          <w:szCs w:val="24"/>
          <w:lang w:eastAsia="en-SG"/>
        </w:rPr>
        <w:t xml:space="preserve"> to provide for an environment conducive to free and active private sector participation and investment in all energy activities;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(k) Assess the requirements of, determine priorities for, provide direction to, and disseminate information resulting from energy research and development programs for the optimal development of various forms of energy production and utilization technologies;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(l) Formulate and implement programs, including a system of providing incentives and penalties, for the judicious and efficient use of energy in all energy-consuming sectors of the economy;</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(m) Formulate and implement a program for the accelerated development of non-conventional energy systems and the promotion and commercialization of its applications;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(n) Devise ways and means of giving direct benefit to the province, city, or municipality, especially the community and people affected, and equitable preferential benefit to the region that hosts the energy resource and/or the energy-generating facility: </w:t>
      </w:r>
      <w:r w:rsidRPr="005F5F47">
        <w:rPr>
          <w:rFonts w:ascii="Times New Roman" w:eastAsia="Times New Roman" w:hAnsi="Times New Roman" w:cs="Times New Roman"/>
          <w:i/>
          <w:iCs/>
          <w:sz w:val="24"/>
          <w:szCs w:val="24"/>
          <w:lang w:eastAsia="en-SG"/>
        </w:rPr>
        <w:t>Provided, however</w:t>
      </w:r>
      <w:r w:rsidRPr="005F5F47">
        <w:rPr>
          <w:rFonts w:ascii="Times New Roman" w:eastAsia="Times New Roman" w:hAnsi="Times New Roman" w:cs="Times New Roman"/>
          <w:sz w:val="24"/>
          <w:szCs w:val="24"/>
          <w:lang w:eastAsia="en-SG"/>
        </w:rPr>
        <w:t>, That the other provinces, cities, municipalities, or regions shall not be deprived of their energy requirements;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(o) Encourage private enterprises engaged in energy projects, including corporations, cooperatives, and similar collective organizations, to broaden the base of their ownership and thereby encourage the widest public ownership of energy-oriented corporations;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(p) Formulate such rules and regulations as may be necessary to implement the objectives of this Act; and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(q) Exercise such other powers as may be necessary or incidental to attain the objectives of this Act."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lastRenderedPageBreak/>
        <w:t>[52]</w:t>
      </w:r>
      <w:r w:rsidRPr="005F5F47">
        <w:rPr>
          <w:rFonts w:ascii="Times New Roman" w:eastAsia="Times New Roman" w:hAnsi="Times New Roman" w:cs="Times New Roman"/>
          <w:sz w:val="24"/>
          <w:szCs w:val="24"/>
          <w:lang w:eastAsia="en-SG"/>
        </w:rPr>
        <w:t xml:space="preserve"> Deliberations of EPIRA, June 5, 2000 Session, pp. 56-57.</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[53]</w:t>
      </w:r>
      <w:r w:rsidRPr="005F5F47">
        <w:rPr>
          <w:rFonts w:ascii="Times New Roman" w:eastAsia="Times New Roman" w:hAnsi="Times New Roman" w:cs="Times New Roman"/>
          <w:sz w:val="24"/>
          <w:szCs w:val="24"/>
          <w:lang w:eastAsia="en-SG"/>
        </w:rPr>
        <w:t xml:space="preserve"> Deliberations of EPIRA, June 5, 2000 Session, pp. 57-59.</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[54]</w:t>
      </w:r>
      <w:r w:rsidRPr="005F5F47">
        <w:rPr>
          <w:rFonts w:ascii="Times New Roman" w:eastAsia="Times New Roman" w:hAnsi="Times New Roman" w:cs="Times New Roman"/>
          <w:sz w:val="24"/>
          <w:szCs w:val="24"/>
          <w:lang w:eastAsia="en-SG"/>
        </w:rPr>
        <w:t xml:space="preserve"> Supra note 49, at 196.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[55]</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[56]</w:t>
      </w:r>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p. 24.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[57]</w:t>
      </w:r>
      <w:r w:rsidRPr="005F5F47">
        <w:rPr>
          <w:rFonts w:ascii="Times New Roman" w:eastAsia="Times New Roman" w:hAnsi="Times New Roman" w:cs="Times New Roman"/>
          <w:sz w:val="24"/>
          <w:szCs w:val="24"/>
          <w:lang w:eastAsia="en-SG"/>
        </w:rPr>
        <w:t xml:space="preserve"> Id. at 26.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[58]</w:t>
      </w:r>
      <w:r w:rsidRPr="005F5F47">
        <w:rPr>
          <w:rFonts w:ascii="Times New Roman" w:eastAsia="Times New Roman" w:hAnsi="Times New Roman" w:cs="Times New Roman"/>
          <w:sz w:val="24"/>
          <w:szCs w:val="24"/>
          <w:lang w:eastAsia="en-SG"/>
        </w:rPr>
        <w:t xml:space="preserve"> Id. at 27.</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[59]</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[60]</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J.</w:t>
      </w:r>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Perlas-Bernabe</w:t>
      </w:r>
      <w:proofErr w:type="spellEnd"/>
      <w:r w:rsidRPr="005F5F47">
        <w:rPr>
          <w:rFonts w:ascii="Times New Roman" w:eastAsia="Times New Roman" w:hAnsi="Times New Roman" w:cs="Times New Roman"/>
          <w:sz w:val="24"/>
          <w:szCs w:val="24"/>
          <w:lang w:eastAsia="en-SG"/>
        </w:rPr>
        <w:t>, Separate Concurring Opinion, p. 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[61]</w:t>
      </w:r>
      <w:r w:rsidRPr="005F5F47">
        <w:rPr>
          <w:rFonts w:ascii="Times New Roman" w:eastAsia="Times New Roman" w:hAnsi="Times New Roman" w:cs="Times New Roman"/>
          <w:sz w:val="24"/>
          <w:szCs w:val="24"/>
          <w:lang w:eastAsia="en-SG"/>
        </w:rPr>
        <w:t xml:space="preserve"> Id. at 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[62]</w:t>
      </w:r>
      <w:r w:rsidRPr="005F5F47">
        <w:rPr>
          <w:rFonts w:ascii="Times New Roman" w:eastAsia="Times New Roman" w:hAnsi="Times New Roman" w:cs="Times New Roman"/>
          <w:sz w:val="24"/>
          <w:szCs w:val="24"/>
          <w:lang w:eastAsia="en-SG"/>
        </w:rPr>
        <w:t xml:space="preserve"> Id. at 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[63]</w:t>
      </w:r>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i/>
          <w:iCs/>
          <w:sz w:val="24"/>
          <w:szCs w:val="24"/>
          <w:lang w:eastAsia="en-SG"/>
        </w:rPr>
        <w:t>Yazaki</w:t>
      </w:r>
      <w:proofErr w:type="spellEnd"/>
      <w:r w:rsidRPr="005F5F47">
        <w:rPr>
          <w:rFonts w:ascii="Times New Roman" w:eastAsia="Times New Roman" w:hAnsi="Times New Roman" w:cs="Times New Roman"/>
          <w:i/>
          <w:iCs/>
          <w:sz w:val="24"/>
          <w:szCs w:val="24"/>
          <w:lang w:eastAsia="en-SG"/>
        </w:rPr>
        <w:t xml:space="preserve"> Torres Manufacturing, Inc. v. Court of Appeals</w:t>
      </w:r>
      <w:r w:rsidRPr="005F5F47">
        <w:rPr>
          <w:rFonts w:ascii="Times New Roman" w:eastAsia="Times New Roman" w:hAnsi="Times New Roman" w:cs="Times New Roman"/>
          <w:sz w:val="24"/>
          <w:szCs w:val="24"/>
          <w:lang w:eastAsia="en-SG"/>
        </w:rPr>
        <w:t>, supra note 2, at 89.</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[64]</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[65]</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[66]</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[67]</w:t>
      </w:r>
      <w:r w:rsidRPr="005F5F47">
        <w:rPr>
          <w:rFonts w:ascii="Times New Roman" w:eastAsia="Times New Roman" w:hAnsi="Times New Roman" w:cs="Times New Roman"/>
          <w:sz w:val="24"/>
          <w:szCs w:val="24"/>
          <w:lang w:eastAsia="en-SG"/>
        </w:rPr>
        <w:t xml:space="preserve"> Id. at 89-90.</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[68]</w:t>
      </w:r>
      <w:r w:rsidRPr="005F5F47">
        <w:rPr>
          <w:rFonts w:ascii="Times New Roman" w:eastAsia="Times New Roman" w:hAnsi="Times New Roman" w:cs="Times New Roman"/>
          <w:sz w:val="24"/>
          <w:szCs w:val="24"/>
          <w:lang w:eastAsia="en-SG"/>
        </w:rPr>
        <w:t xml:space="preserve"> Id. at 90.</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[69]</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[70]</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Kida v. Senate of the Philippines</w:t>
      </w:r>
      <w:r w:rsidRPr="005F5F47">
        <w:rPr>
          <w:rFonts w:ascii="Times New Roman" w:eastAsia="Times New Roman" w:hAnsi="Times New Roman" w:cs="Times New Roman"/>
          <w:sz w:val="24"/>
          <w:szCs w:val="24"/>
          <w:lang w:eastAsia="en-SG"/>
        </w:rPr>
        <w:t>, 683 Phil. 198, 221 (2012).</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[71]</w:t>
      </w:r>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i/>
          <w:iCs/>
          <w:sz w:val="24"/>
          <w:szCs w:val="24"/>
          <w:lang w:eastAsia="en-SG"/>
        </w:rPr>
        <w:t>Yazaki</w:t>
      </w:r>
      <w:proofErr w:type="spellEnd"/>
      <w:r w:rsidRPr="005F5F47">
        <w:rPr>
          <w:rFonts w:ascii="Times New Roman" w:eastAsia="Times New Roman" w:hAnsi="Times New Roman" w:cs="Times New Roman"/>
          <w:i/>
          <w:iCs/>
          <w:sz w:val="24"/>
          <w:szCs w:val="24"/>
          <w:lang w:eastAsia="en-SG"/>
        </w:rPr>
        <w:t xml:space="preserve"> Torres Manufacturing, Inc. v. Court of Appeals</w:t>
      </w:r>
      <w:r w:rsidRPr="005F5F47">
        <w:rPr>
          <w:rFonts w:ascii="Times New Roman" w:eastAsia="Times New Roman" w:hAnsi="Times New Roman" w:cs="Times New Roman"/>
          <w:sz w:val="24"/>
          <w:szCs w:val="24"/>
          <w:lang w:eastAsia="en-SG"/>
        </w:rPr>
        <w:t>, supra note 2, at 90.</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[72]</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Pharmaceutical and Health Care Association of the Philippines v. Duque III</w:t>
      </w:r>
      <w:r w:rsidRPr="005F5F47">
        <w:rPr>
          <w:rFonts w:ascii="Times New Roman" w:eastAsia="Times New Roman" w:hAnsi="Times New Roman" w:cs="Times New Roman"/>
          <w:sz w:val="24"/>
          <w:szCs w:val="24"/>
          <w:lang w:eastAsia="en-SG"/>
        </w:rPr>
        <w:t>, 561 Phil. 386, 444 (2007).</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[73]</w:t>
      </w:r>
      <w:r w:rsidRPr="005F5F47">
        <w:rPr>
          <w:rFonts w:ascii="Times New Roman" w:eastAsia="Times New Roman" w:hAnsi="Times New Roman" w:cs="Times New Roman"/>
          <w:sz w:val="24"/>
          <w:szCs w:val="24"/>
          <w:lang w:eastAsia="en-SG"/>
        </w:rPr>
        <w:t xml:space="preserve"> EPIRA, Sec. </w:t>
      </w:r>
      <w:proofErr w:type="gramStart"/>
      <w:r w:rsidRPr="005F5F47">
        <w:rPr>
          <w:rFonts w:ascii="Times New Roman" w:eastAsia="Times New Roman" w:hAnsi="Times New Roman" w:cs="Times New Roman"/>
          <w:sz w:val="24"/>
          <w:szCs w:val="24"/>
          <w:lang w:eastAsia="en-SG"/>
        </w:rPr>
        <w:t>2(f</w:t>
      </w:r>
      <w:proofErr w:type="gramEnd"/>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[74]</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Rollo</w:t>
      </w:r>
      <w:r w:rsidRPr="005F5F47">
        <w:rPr>
          <w:rFonts w:ascii="Times New Roman" w:eastAsia="Times New Roman" w:hAnsi="Times New Roman" w:cs="Times New Roman"/>
          <w:sz w:val="24"/>
          <w:szCs w:val="24"/>
          <w:lang w:eastAsia="en-SG"/>
        </w:rPr>
        <w:t xml:space="preserve"> (Vol. III), pp. 1237-1238.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[75]</w:t>
      </w:r>
      <w:r w:rsidRPr="005F5F47">
        <w:rPr>
          <w:rFonts w:ascii="Times New Roman" w:eastAsia="Times New Roman" w:hAnsi="Times New Roman" w:cs="Times New Roman"/>
          <w:sz w:val="24"/>
          <w:szCs w:val="24"/>
          <w:lang w:eastAsia="en-SG"/>
        </w:rPr>
        <w:t xml:space="preserve"> Id. at 1238.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[76]</w:t>
      </w:r>
      <w:r w:rsidRPr="005F5F47">
        <w:rPr>
          <w:rFonts w:ascii="Times New Roman" w:eastAsia="Times New Roman" w:hAnsi="Times New Roman" w:cs="Times New Roman"/>
          <w:sz w:val="24"/>
          <w:szCs w:val="24"/>
          <w:lang w:eastAsia="en-SG"/>
        </w:rPr>
        <w:t xml:space="preserve"> Id. at 1239.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lastRenderedPageBreak/>
        <w:br/>
      </w:r>
      <w:r w:rsidRPr="005F5F47">
        <w:rPr>
          <w:rFonts w:ascii="Times New Roman" w:eastAsia="Times New Roman" w:hAnsi="Times New Roman" w:cs="Times New Roman"/>
          <w:color w:val="FF0000"/>
          <w:sz w:val="24"/>
          <w:szCs w:val="24"/>
          <w:vertAlign w:val="superscript"/>
          <w:lang w:eastAsia="en-SG"/>
        </w:rPr>
        <w:t>[77]</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[78]</w:t>
      </w:r>
      <w:r w:rsidRPr="005F5F47">
        <w:rPr>
          <w:rFonts w:ascii="Times New Roman" w:eastAsia="Times New Roman" w:hAnsi="Times New Roman" w:cs="Times New Roman"/>
          <w:sz w:val="24"/>
          <w:szCs w:val="24"/>
          <w:lang w:eastAsia="en-SG"/>
        </w:rPr>
        <w:t xml:space="preserve"> Id. at 1242-1243.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[79]</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[80]</w:t>
      </w:r>
      <w:r w:rsidRPr="005F5F47">
        <w:rPr>
          <w:rFonts w:ascii="Times New Roman" w:eastAsia="Times New Roman" w:hAnsi="Times New Roman" w:cs="Times New Roman"/>
          <w:sz w:val="24"/>
          <w:szCs w:val="24"/>
          <w:lang w:eastAsia="en-SG"/>
        </w:rPr>
        <w:t xml:space="preserve"> Id. at 1244-1245.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[81]</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[82]</w:t>
      </w:r>
      <w:r w:rsidRPr="005F5F47">
        <w:rPr>
          <w:rFonts w:ascii="Times New Roman" w:eastAsia="Times New Roman" w:hAnsi="Times New Roman" w:cs="Times New Roman"/>
          <w:sz w:val="24"/>
          <w:szCs w:val="24"/>
          <w:lang w:eastAsia="en-SG"/>
        </w:rPr>
        <w:t xml:space="preserve"> Id. at 1246-1249.</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[83]</w:t>
      </w:r>
      <w:r w:rsidRPr="005F5F47">
        <w:rPr>
          <w:rFonts w:ascii="Times New Roman" w:eastAsia="Times New Roman" w:hAnsi="Times New Roman" w:cs="Times New Roman"/>
          <w:sz w:val="24"/>
          <w:szCs w:val="24"/>
          <w:lang w:eastAsia="en-SG"/>
        </w:rPr>
        <w:t xml:space="preserve"> Id. at 1246-1247.</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[84]</w:t>
      </w:r>
      <w:r w:rsidRPr="005F5F47">
        <w:rPr>
          <w:rFonts w:ascii="Times New Roman" w:eastAsia="Times New Roman" w:hAnsi="Times New Roman" w:cs="Times New Roman"/>
          <w:sz w:val="24"/>
          <w:szCs w:val="24"/>
          <w:lang w:eastAsia="en-SG"/>
        </w:rPr>
        <w:t xml:space="preserve"> Id. at 1250.</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[85]</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[86]</w:t>
      </w:r>
      <w:r w:rsidRPr="005F5F47">
        <w:rPr>
          <w:rFonts w:ascii="Times New Roman" w:eastAsia="Times New Roman" w:hAnsi="Times New Roman" w:cs="Times New Roman"/>
          <w:sz w:val="24"/>
          <w:szCs w:val="24"/>
          <w:lang w:eastAsia="en-SG"/>
        </w:rPr>
        <w:t xml:space="preserve"> Id. at 1251-1252.</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[87]</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[88]</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Rollo</w:t>
      </w:r>
      <w:r w:rsidRPr="005F5F47">
        <w:rPr>
          <w:rFonts w:ascii="Times New Roman" w:eastAsia="Times New Roman" w:hAnsi="Times New Roman" w:cs="Times New Roman"/>
          <w:sz w:val="24"/>
          <w:szCs w:val="24"/>
          <w:lang w:eastAsia="en-SG"/>
        </w:rPr>
        <w:t xml:space="preserve"> (Vol. IV), p. 1516.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[89]</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[90]</w:t>
      </w:r>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p. 28.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[91]</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Rollo</w:t>
      </w:r>
      <w:r w:rsidRPr="005F5F47">
        <w:rPr>
          <w:rFonts w:ascii="Times New Roman" w:eastAsia="Times New Roman" w:hAnsi="Times New Roman" w:cs="Times New Roman"/>
          <w:sz w:val="24"/>
          <w:szCs w:val="24"/>
          <w:lang w:eastAsia="en-SG"/>
        </w:rPr>
        <w:t xml:space="preserve"> (Vol. IV), p. 1516.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[92]</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Rollo</w:t>
      </w:r>
      <w:r w:rsidRPr="005F5F47">
        <w:rPr>
          <w:rFonts w:ascii="Times New Roman" w:eastAsia="Times New Roman" w:hAnsi="Times New Roman" w:cs="Times New Roman"/>
          <w:sz w:val="24"/>
          <w:szCs w:val="24"/>
          <w:lang w:eastAsia="en-SG"/>
        </w:rPr>
        <w:t xml:space="preserve"> (Vol. III), pp. 1208-1209.</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[93]</w:t>
      </w:r>
      <w:r w:rsidRPr="005F5F47">
        <w:rPr>
          <w:rFonts w:ascii="Times New Roman" w:eastAsia="Times New Roman" w:hAnsi="Times New Roman" w:cs="Times New Roman"/>
          <w:sz w:val="24"/>
          <w:szCs w:val="24"/>
          <w:lang w:eastAsia="en-SG"/>
        </w:rPr>
        <w:t xml:space="preserve"> Id. at 1206.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[94]</w:t>
      </w:r>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p. 30.</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[95]</w:t>
      </w:r>
      <w:r w:rsidRPr="005F5F47">
        <w:rPr>
          <w:rFonts w:ascii="Times New Roman" w:eastAsia="Times New Roman" w:hAnsi="Times New Roman" w:cs="Times New Roman"/>
          <w:sz w:val="24"/>
          <w:szCs w:val="24"/>
          <w:lang w:eastAsia="en-SG"/>
        </w:rPr>
        <w:t xml:space="preserve"> Id. at 31.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[96]</w:t>
      </w:r>
      <w:r w:rsidRPr="005F5F47">
        <w:rPr>
          <w:rFonts w:ascii="Times New Roman" w:eastAsia="Times New Roman" w:hAnsi="Times New Roman" w:cs="Times New Roman"/>
          <w:sz w:val="24"/>
          <w:szCs w:val="24"/>
          <w:lang w:eastAsia="en-SG"/>
        </w:rPr>
        <w:t xml:space="preserve"> Id. at 32.</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[97]</w:t>
      </w:r>
      <w:r w:rsidRPr="005F5F47">
        <w:rPr>
          <w:rFonts w:ascii="Times New Roman" w:eastAsia="Times New Roman" w:hAnsi="Times New Roman" w:cs="Times New Roman"/>
          <w:sz w:val="24"/>
          <w:szCs w:val="24"/>
          <w:lang w:eastAsia="en-SG"/>
        </w:rPr>
        <w:t xml:space="preserve"> Resolution No. 13, 9</w:t>
      </w:r>
      <w:r w:rsidRPr="005F5F47">
        <w:rPr>
          <w:rFonts w:ascii="Times New Roman" w:eastAsia="Times New Roman" w:hAnsi="Times New Roman" w:cs="Times New Roman"/>
          <w:sz w:val="24"/>
          <w:szCs w:val="24"/>
          <w:vertAlign w:val="superscript"/>
          <w:lang w:eastAsia="en-SG"/>
        </w:rPr>
        <w:t>th</w:t>
      </w:r>
      <w:r w:rsidRPr="005F5F47">
        <w:rPr>
          <w:rFonts w:ascii="Times New Roman" w:eastAsia="Times New Roman" w:hAnsi="Times New Roman" w:cs="Times New Roman"/>
          <w:sz w:val="24"/>
          <w:szCs w:val="24"/>
          <w:lang w:eastAsia="en-SG"/>
        </w:rPr>
        <w:t xml:space="preserve"> Whereas Clause.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[98]</w:t>
      </w:r>
      <w:r w:rsidRPr="005F5F47">
        <w:rPr>
          <w:rFonts w:ascii="Times New Roman" w:eastAsia="Times New Roman" w:hAnsi="Times New Roman" w:cs="Times New Roman"/>
          <w:sz w:val="24"/>
          <w:szCs w:val="24"/>
          <w:lang w:eastAsia="en-SG"/>
        </w:rPr>
        <w:t xml:space="preserve"> RULES OF COURT, Rule 129, Section 1 provides: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SECTION 1. </w:t>
      </w:r>
      <w:r w:rsidRPr="005F5F47">
        <w:rPr>
          <w:rFonts w:ascii="Times New Roman" w:eastAsia="Times New Roman" w:hAnsi="Times New Roman" w:cs="Times New Roman"/>
          <w:i/>
          <w:iCs/>
          <w:sz w:val="24"/>
          <w:szCs w:val="24"/>
          <w:lang w:eastAsia="en-SG"/>
        </w:rPr>
        <w:t>Judicial notice, when mandatory</w:t>
      </w:r>
      <w:r w:rsidRPr="005F5F47">
        <w:rPr>
          <w:rFonts w:ascii="Times New Roman" w:eastAsia="Times New Roman" w:hAnsi="Times New Roman" w:cs="Times New Roman"/>
          <w:sz w:val="24"/>
          <w:szCs w:val="24"/>
          <w:lang w:eastAsia="en-SG"/>
        </w:rPr>
        <w:t xml:space="preserve">. — </w:t>
      </w:r>
      <w:r w:rsidRPr="005F5F47">
        <w:rPr>
          <w:rFonts w:ascii="Times New Roman" w:eastAsia="Times New Roman" w:hAnsi="Times New Roman" w:cs="Times New Roman"/>
          <w:b/>
          <w:bCs/>
          <w:sz w:val="24"/>
          <w:szCs w:val="24"/>
          <w:u w:val="single"/>
          <w:lang w:eastAsia="en-SG"/>
        </w:rPr>
        <w:t>A court shall take judicial notice</w:t>
      </w:r>
      <w:r w:rsidRPr="005F5F47">
        <w:rPr>
          <w:rFonts w:ascii="Times New Roman" w:eastAsia="Times New Roman" w:hAnsi="Times New Roman" w:cs="Times New Roman"/>
          <w:sz w:val="24"/>
          <w:szCs w:val="24"/>
          <w:lang w:eastAsia="en-SG"/>
        </w:rPr>
        <w:t xml:space="preserve">, without the introduction of evidence, of the existence and territorial extent of states, their political history, forms of government and symbols of nationality, the law of nations, the admiralty and maritime courts of the world and their seals, the political constitution and history of the Philippines, </w:t>
      </w:r>
      <w:r w:rsidRPr="005F5F47">
        <w:rPr>
          <w:rFonts w:ascii="Times New Roman" w:eastAsia="Times New Roman" w:hAnsi="Times New Roman" w:cs="Times New Roman"/>
          <w:b/>
          <w:bCs/>
          <w:sz w:val="24"/>
          <w:szCs w:val="24"/>
          <w:u w:val="single"/>
          <w:lang w:eastAsia="en-SG"/>
        </w:rPr>
        <w:t xml:space="preserve">the official acts of the legislative, executive and judicial </w:t>
      </w:r>
      <w:r w:rsidRPr="005F5F47">
        <w:rPr>
          <w:rFonts w:ascii="Times New Roman" w:eastAsia="Times New Roman" w:hAnsi="Times New Roman" w:cs="Times New Roman"/>
          <w:b/>
          <w:bCs/>
          <w:sz w:val="24"/>
          <w:szCs w:val="24"/>
          <w:u w:val="single"/>
          <w:lang w:eastAsia="en-SG"/>
        </w:rPr>
        <w:lastRenderedPageBreak/>
        <w:t>departments of the Philippines</w:t>
      </w:r>
      <w:r w:rsidRPr="005F5F47">
        <w:rPr>
          <w:rFonts w:ascii="Times New Roman" w:eastAsia="Times New Roman" w:hAnsi="Times New Roman" w:cs="Times New Roman"/>
          <w:sz w:val="24"/>
          <w:szCs w:val="24"/>
          <w:lang w:eastAsia="en-SG"/>
        </w:rPr>
        <w:t>, the laws of nature, the measure of time, and the geographical divisions. (Emphasis and underscoring supplied)</w:t>
      </w:r>
    </w:p>
    <w:p w:rsidR="005F5F47" w:rsidRPr="005F5F47" w:rsidRDefault="005F5F47" w:rsidP="005F5F47">
      <w:pPr>
        <w:spacing w:after="24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color w:val="FF0000"/>
          <w:sz w:val="24"/>
          <w:szCs w:val="24"/>
          <w:vertAlign w:val="superscript"/>
          <w:lang w:eastAsia="en-SG"/>
        </w:rPr>
        <w:t>[99]</w:t>
      </w:r>
      <w:r w:rsidRPr="005F5F47">
        <w:rPr>
          <w:rFonts w:ascii="Times New Roman" w:eastAsia="Times New Roman" w:hAnsi="Times New Roman" w:cs="Times New Roman"/>
          <w:sz w:val="24"/>
          <w:szCs w:val="24"/>
          <w:lang w:eastAsia="en-SG"/>
        </w:rPr>
        <w:t xml:space="preserve"> See Comments Received on the Draft PSA Rules, ERC Case No. 2018-0002-RM, </w:t>
      </w:r>
      <w:r w:rsidRPr="005F5F47">
        <w:rPr>
          <w:rFonts w:ascii="Times New Roman" w:eastAsia="Times New Roman" w:hAnsi="Times New Roman" w:cs="Times New Roman"/>
          <w:i/>
          <w:iCs/>
          <w:sz w:val="24"/>
          <w:szCs w:val="24"/>
          <w:lang w:eastAsia="en-SG"/>
        </w:rPr>
        <w:t>available at</w:t>
      </w:r>
      <w:r w:rsidRPr="005F5F47">
        <w:rPr>
          <w:rFonts w:ascii="Times New Roman" w:eastAsia="Times New Roman" w:hAnsi="Times New Roman" w:cs="Times New Roman"/>
          <w:sz w:val="24"/>
          <w:szCs w:val="24"/>
          <w:lang w:eastAsia="en-SG"/>
        </w:rPr>
        <w:t xml:space="preserve"> </w:t>
      </w:r>
      <w:hyperlink r:id="rId9" w:history="1">
        <w:r w:rsidRPr="005F5F47">
          <w:rPr>
            <w:rFonts w:ascii="Times New Roman" w:eastAsia="Times New Roman" w:hAnsi="Times New Roman" w:cs="Times New Roman"/>
            <w:color w:val="0000FF"/>
            <w:sz w:val="24"/>
            <w:szCs w:val="24"/>
            <w:u w:val="single"/>
            <w:lang w:eastAsia="en-SG"/>
          </w:rPr>
          <w:t>http://www.erc.gov.ph/ContentPage/51512</w:t>
        </w:r>
      </w:hyperlink>
      <w:r w:rsidRPr="005F5F47">
        <w:rPr>
          <w:rFonts w:ascii="Times New Roman" w:eastAsia="Times New Roman" w:hAnsi="Times New Roman" w:cs="Times New Roman"/>
          <w:sz w:val="24"/>
          <w:szCs w:val="24"/>
          <w:lang w:eastAsia="en-SG"/>
        </w:rPr>
        <w:t xml:space="preserve"> (last accessed November 9, 2018).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[100]</w:t>
      </w:r>
      <w:r w:rsidRPr="005F5F47">
        <w:rPr>
          <w:rFonts w:ascii="Times New Roman" w:eastAsia="Times New Roman" w:hAnsi="Times New Roman" w:cs="Times New Roman"/>
          <w:sz w:val="24"/>
          <w:szCs w:val="24"/>
          <w:lang w:eastAsia="en-SG"/>
        </w:rPr>
        <w:t xml:space="preserve"> See 15 October 2018 </w:t>
      </w:r>
      <w:proofErr w:type="spellStart"/>
      <w:r w:rsidRPr="005F5F47">
        <w:rPr>
          <w:rFonts w:ascii="Times New Roman" w:eastAsia="Times New Roman" w:hAnsi="Times New Roman" w:cs="Times New Roman"/>
          <w:sz w:val="24"/>
          <w:szCs w:val="24"/>
          <w:lang w:eastAsia="en-SG"/>
        </w:rPr>
        <w:t>PubCon</w:t>
      </w:r>
      <w:proofErr w:type="spellEnd"/>
      <w:r w:rsidRPr="005F5F47">
        <w:rPr>
          <w:rFonts w:ascii="Times New Roman" w:eastAsia="Times New Roman" w:hAnsi="Times New Roman" w:cs="Times New Roman"/>
          <w:sz w:val="24"/>
          <w:szCs w:val="24"/>
          <w:lang w:eastAsia="en-SG"/>
        </w:rPr>
        <w:t xml:space="preserve"> on PSA Rules, </w:t>
      </w:r>
      <w:r w:rsidRPr="005F5F47">
        <w:rPr>
          <w:rFonts w:ascii="Times New Roman" w:eastAsia="Times New Roman" w:hAnsi="Times New Roman" w:cs="Times New Roman"/>
          <w:i/>
          <w:iCs/>
          <w:sz w:val="24"/>
          <w:szCs w:val="24"/>
          <w:lang w:eastAsia="en-SG"/>
        </w:rPr>
        <w:t>available at</w:t>
      </w:r>
      <w:r w:rsidRPr="005F5F47">
        <w:rPr>
          <w:rFonts w:ascii="Times New Roman" w:eastAsia="Times New Roman" w:hAnsi="Times New Roman" w:cs="Times New Roman"/>
          <w:sz w:val="24"/>
          <w:szCs w:val="24"/>
          <w:lang w:eastAsia="en-SG"/>
        </w:rPr>
        <w:t xml:space="preserve"> </w:t>
      </w:r>
      <w:hyperlink r:id="rId10" w:history="1">
        <w:r w:rsidRPr="005F5F47">
          <w:rPr>
            <w:rFonts w:ascii="Times New Roman" w:eastAsia="Times New Roman" w:hAnsi="Times New Roman" w:cs="Times New Roman"/>
            <w:color w:val="0000FF"/>
            <w:sz w:val="24"/>
            <w:szCs w:val="24"/>
            <w:u w:val="single"/>
            <w:lang w:eastAsia="en-SG"/>
          </w:rPr>
          <w:t>http://erc.gov.ph/ContentPage/51514</w:t>
        </w:r>
      </w:hyperlink>
      <w:r w:rsidRPr="005F5F47">
        <w:rPr>
          <w:rFonts w:ascii="Times New Roman" w:eastAsia="Times New Roman" w:hAnsi="Times New Roman" w:cs="Times New Roman"/>
          <w:sz w:val="24"/>
          <w:szCs w:val="24"/>
          <w:lang w:eastAsia="en-SG"/>
        </w:rPr>
        <w:t xml:space="preserve"> (last accessed November 9, 2018).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[101]</w:t>
      </w:r>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i/>
          <w:iCs/>
          <w:sz w:val="24"/>
          <w:szCs w:val="24"/>
          <w:lang w:eastAsia="en-SG"/>
        </w:rPr>
        <w:t>Yazaki</w:t>
      </w:r>
      <w:proofErr w:type="spellEnd"/>
      <w:r w:rsidRPr="005F5F47">
        <w:rPr>
          <w:rFonts w:ascii="Times New Roman" w:eastAsia="Times New Roman" w:hAnsi="Times New Roman" w:cs="Times New Roman"/>
          <w:i/>
          <w:iCs/>
          <w:sz w:val="24"/>
          <w:szCs w:val="24"/>
          <w:lang w:eastAsia="en-SG"/>
        </w:rPr>
        <w:t xml:space="preserve"> Torres Manufacturing, Inc. v. Court of Appeals</w:t>
      </w:r>
      <w:r w:rsidRPr="005F5F47">
        <w:rPr>
          <w:rFonts w:ascii="Times New Roman" w:eastAsia="Times New Roman" w:hAnsi="Times New Roman" w:cs="Times New Roman"/>
          <w:sz w:val="24"/>
          <w:szCs w:val="24"/>
          <w:lang w:eastAsia="en-SG"/>
        </w:rPr>
        <w:t>, supra note 2, at 88.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[102]</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Bureau Veritas v. Office of the President</w:t>
      </w:r>
      <w:r w:rsidRPr="005F5F47">
        <w:rPr>
          <w:rFonts w:ascii="Times New Roman" w:eastAsia="Times New Roman" w:hAnsi="Times New Roman" w:cs="Times New Roman"/>
          <w:sz w:val="24"/>
          <w:szCs w:val="24"/>
          <w:lang w:eastAsia="en-SG"/>
        </w:rPr>
        <w:t>, supra note 3, at 747.</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[103]</w:t>
      </w:r>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i/>
          <w:iCs/>
          <w:sz w:val="24"/>
          <w:szCs w:val="24"/>
          <w:lang w:eastAsia="en-SG"/>
        </w:rPr>
        <w:t>Yazaki</w:t>
      </w:r>
      <w:proofErr w:type="spellEnd"/>
      <w:r w:rsidRPr="005F5F47">
        <w:rPr>
          <w:rFonts w:ascii="Times New Roman" w:eastAsia="Times New Roman" w:hAnsi="Times New Roman" w:cs="Times New Roman"/>
          <w:i/>
          <w:iCs/>
          <w:sz w:val="24"/>
          <w:szCs w:val="24"/>
          <w:lang w:eastAsia="en-SG"/>
        </w:rPr>
        <w:t xml:space="preserve"> Torres Manufacturing, Inc. v. Court of Appeals</w:t>
      </w:r>
      <w:r w:rsidRPr="005F5F47">
        <w:rPr>
          <w:rFonts w:ascii="Times New Roman" w:eastAsia="Times New Roman" w:hAnsi="Times New Roman" w:cs="Times New Roman"/>
          <w:sz w:val="24"/>
          <w:szCs w:val="24"/>
          <w:lang w:eastAsia="en-SG"/>
        </w:rPr>
        <w:t>, supra note 2, at 88.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[104]</w:t>
      </w:r>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i/>
          <w:iCs/>
          <w:sz w:val="24"/>
          <w:szCs w:val="24"/>
          <w:lang w:eastAsia="en-SG"/>
        </w:rPr>
        <w:t>Melendres</w:t>
      </w:r>
      <w:proofErr w:type="spellEnd"/>
      <w:r w:rsidRPr="005F5F47">
        <w:rPr>
          <w:rFonts w:ascii="Times New Roman" w:eastAsia="Times New Roman" w:hAnsi="Times New Roman" w:cs="Times New Roman"/>
          <w:i/>
          <w:iCs/>
          <w:sz w:val="24"/>
          <w:szCs w:val="24"/>
          <w:lang w:eastAsia="en-SG"/>
        </w:rPr>
        <w:t>, Jr. v. Commission on Elections</w:t>
      </w:r>
      <w:r w:rsidRPr="005F5F47">
        <w:rPr>
          <w:rFonts w:ascii="Times New Roman" w:eastAsia="Times New Roman" w:hAnsi="Times New Roman" w:cs="Times New Roman"/>
          <w:sz w:val="24"/>
          <w:szCs w:val="24"/>
          <w:lang w:eastAsia="en-SG"/>
        </w:rPr>
        <w:t>, 311 Phil. 275, 291 (1999).</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[105]</w:t>
      </w:r>
      <w:r w:rsidRPr="005F5F47">
        <w:rPr>
          <w:rFonts w:ascii="Times New Roman" w:eastAsia="Times New Roman" w:hAnsi="Times New Roman" w:cs="Times New Roman"/>
          <w:sz w:val="24"/>
          <w:szCs w:val="24"/>
          <w:lang w:eastAsia="en-SG"/>
        </w:rPr>
        <w:t xml:space="preserve"> 280 Phil. 548 (1991).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[106]</w:t>
      </w:r>
      <w:r w:rsidRPr="005F5F47">
        <w:rPr>
          <w:rFonts w:ascii="Times New Roman" w:eastAsia="Times New Roman" w:hAnsi="Times New Roman" w:cs="Times New Roman"/>
          <w:sz w:val="24"/>
          <w:szCs w:val="24"/>
          <w:lang w:eastAsia="en-SG"/>
        </w:rPr>
        <w:t xml:space="preserve"> 140 Phil. 20, 26 (1969).</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[107]</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Nestle Philippines, Inc. v. Court of Appeals</w:t>
      </w:r>
      <w:r w:rsidRPr="005F5F47">
        <w:rPr>
          <w:rFonts w:ascii="Times New Roman" w:eastAsia="Times New Roman" w:hAnsi="Times New Roman" w:cs="Times New Roman"/>
          <w:sz w:val="24"/>
          <w:szCs w:val="24"/>
          <w:lang w:eastAsia="en-SG"/>
        </w:rPr>
        <w:t>, supra note 105, at 556-557.</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[108]</w:t>
      </w:r>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i/>
          <w:iCs/>
          <w:sz w:val="24"/>
          <w:szCs w:val="24"/>
          <w:lang w:eastAsia="en-SG"/>
        </w:rPr>
        <w:t>Melendres</w:t>
      </w:r>
      <w:proofErr w:type="spellEnd"/>
      <w:r w:rsidRPr="005F5F47">
        <w:rPr>
          <w:rFonts w:ascii="Times New Roman" w:eastAsia="Times New Roman" w:hAnsi="Times New Roman" w:cs="Times New Roman"/>
          <w:i/>
          <w:iCs/>
          <w:sz w:val="24"/>
          <w:szCs w:val="24"/>
          <w:lang w:eastAsia="en-SG"/>
        </w:rPr>
        <w:t>, Jr. v. Commission on Elections</w:t>
      </w:r>
      <w:r w:rsidRPr="005F5F47">
        <w:rPr>
          <w:rFonts w:ascii="Times New Roman" w:eastAsia="Times New Roman" w:hAnsi="Times New Roman" w:cs="Times New Roman"/>
          <w:sz w:val="24"/>
          <w:szCs w:val="24"/>
          <w:lang w:eastAsia="en-SG"/>
        </w:rPr>
        <w:t>, supra note 104, at 292.</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pict>
          <v:rect id="_x0000_i1041" style="width:270.8pt;height:.75pt" o:hrpct="600" o:hralign="center" o:hrstd="t" o:hrnoshade="t" o:hr="t" fillcolor="#a0a0a0" stroked="f"/>
        </w:pic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p>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DISSENTING OPINION</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br/>
        <w:t>A. REYES, JR., J.</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declared the first paragraph of Section 4 of Energy Regulatory Commission (ERC) Resolution No. 13, Series of 2015, and ERC Resolution No. 1, Series of 2016, as null and void. As a result, all Power Supply Agreement (PSA) applications submitted by Distribution Utilities (DUs) on or after June 30, 2015, should be subject to the Competitive Selection Process (CSP) in accordance with the Department of Energy (DOE) Circular No. DC2015-06-0008.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With due respect, I disagree with the said ruling.</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ERC did not commit grave abuse of discretion amounting to lack or excess of jurisdiction.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According to Rule 65 of the Rules of Court, for a petition for </w:t>
      </w:r>
      <w:r w:rsidRPr="005F5F47">
        <w:rPr>
          <w:rFonts w:ascii="Times New Roman" w:eastAsia="Times New Roman" w:hAnsi="Times New Roman" w:cs="Times New Roman"/>
          <w:i/>
          <w:iCs/>
          <w:sz w:val="24"/>
          <w:szCs w:val="24"/>
          <w:lang w:eastAsia="en-SG"/>
        </w:rPr>
        <w:t>certiorari</w:t>
      </w:r>
      <w:r w:rsidRPr="005F5F47">
        <w:rPr>
          <w:rFonts w:ascii="Times New Roman" w:eastAsia="Times New Roman" w:hAnsi="Times New Roman" w:cs="Times New Roman"/>
          <w:sz w:val="24"/>
          <w:szCs w:val="24"/>
          <w:lang w:eastAsia="en-SG"/>
        </w:rPr>
        <w:t xml:space="preserve"> to lie, it must be proven that the tribunal, board, or officer exercising judicial or quasi-judicial functions has acted (1) without or in excess of its or his jurisdiction, or (2) with grave abuse of discretion amounting to lack or excess of jurisdiction.</w:t>
      </w:r>
      <w:r w:rsidRPr="005F5F47">
        <w:rPr>
          <w:rFonts w:ascii="Times New Roman" w:eastAsia="Times New Roman" w:hAnsi="Times New Roman" w:cs="Times New Roman"/>
          <w:color w:val="FF0000"/>
          <w:sz w:val="24"/>
          <w:szCs w:val="24"/>
          <w:vertAlign w:val="superscript"/>
          <w:lang w:eastAsia="en-SG"/>
        </w:rPr>
        <w:t>[1]</w:t>
      </w:r>
      <w:r w:rsidRPr="005F5F47">
        <w:rPr>
          <w:rFonts w:ascii="Times New Roman" w:eastAsia="Times New Roman" w:hAnsi="Times New Roman" w:cs="Times New Roman"/>
          <w:sz w:val="24"/>
          <w:szCs w:val="24"/>
          <w:lang w:eastAsia="en-SG"/>
        </w:rPr>
        <w:t xml:space="preserve"> In the same Rule, it was also provided for that a petition for prohibition will lie when the proceedings of any tribunal, corporation, board, officer or person, whether exercising judicial, quasi-judicial or ministerial functions, are (1) without or in excess of its or his jurisdiction, or (2) with grave abuse of discretion amounting to lack or excess of jurisdiction.</w:t>
      </w:r>
      <w:r w:rsidRPr="005F5F47">
        <w:rPr>
          <w:rFonts w:ascii="Times New Roman" w:eastAsia="Times New Roman" w:hAnsi="Times New Roman" w:cs="Times New Roman"/>
          <w:color w:val="FF0000"/>
          <w:sz w:val="24"/>
          <w:szCs w:val="24"/>
          <w:vertAlign w:val="superscript"/>
          <w:lang w:eastAsia="en-SG"/>
        </w:rPr>
        <w:t>[2]</w:t>
      </w:r>
      <w:r w:rsidRPr="005F5F47">
        <w:rPr>
          <w:rFonts w:ascii="Times New Roman" w:eastAsia="Times New Roman" w:hAnsi="Times New Roman" w:cs="Times New Roman"/>
          <w:sz w:val="24"/>
          <w:szCs w:val="24"/>
          <w:lang w:eastAsia="en-SG"/>
        </w:rPr>
        <w:t xml:space="preserve"> In both instances, there should be no appeal or any other </w:t>
      </w:r>
      <w:r w:rsidRPr="005F5F47">
        <w:rPr>
          <w:rFonts w:ascii="Times New Roman" w:eastAsia="Times New Roman" w:hAnsi="Times New Roman" w:cs="Times New Roman"/>
          <w:sz w:val="24"/>
          <w:szCs w:val="24"/>
          <w:lang w:eastAsia="en-SG"/>
        </w:rPr>
        <w:lastRenderedPageBreak/>
        <w:t>plain, speedy, and adequate remedy in the ordinary course of law.</w:t>
      </w:r>
      <w:r w:rsidRPr="005F5F47">
        <w:rPr>
          <w:rFonts w:ascii="Times New Roman" w:eastAsia="Times New Roman" w:hAnsi="Times New Roman" w:cs="Times New Roman"/>
          <w:color w:val="FF0000"/>
          <w:sz w:val="24"/>
          <w:szCs w:val="24"/>
          <w:vertAlign w:val="superscript"/>
          <w:lang w:eastAsia="en-SG"/>
        </w:rPr>
        <w:t>[3]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But while the Rules of Court zeroes in on tribunals, boards, or officers exercising judicial or quasi-judicial functions for petitions for </w:t>
      </w:r>
      <w:r w:rsidRPr="005F5F47">
        <w:rPr>
          <w:rFonts w:ascii="Times New Roman" w:eastAsia="Times New Roman" w:hAnsi="Times New Roman" w:cs="Times New Roman"/>
          <w:i/>
          <w:iCs/>
          <w:sz w:val="24"/>
          <w:szCs w:val="24"/>
          <w:lang w:eastAsia="en-SG"/>
        </w:rPr>
        <w:t>certiorari</w:t>
      </w:r>
      <w:r w:rsidRPr="005F5F47">
        <w:rPr>
          <w:rFonts w:ascii="Times New Roman" w:eastAsia="Times New Roman" w:hAnsi="Times New Roman" w:cs="Times New Roman"/>
          <w:sz w:val="24"/>
          <w:szCs w:val="24"/>
          <w:lang w:eastAsia="en-SG"/>
        </w:rPr>
        <w:t>, and tribunals, corporations, boards, officers or persons, whether exercising judicial, quasi-judicial or ministerial functions, for petitions for prohibition, the Court has, time and again, ruled that the same remedies extend to any act of grave abuse of discretion amounting to lack or excess of jurisdiction of any branch or instrumentality of the Government, even if the latter does not exercise judicial, quasi-judicial or ministerial functions.</w:t>
      </w:r>
      <w:r w:rsidRPr="005F5F47">
        <w:rPr>
          <w:rFonts w:ascii="Times New Roman" w:eastAsia="Times New Roman" w:hAnsi="Times New Roman" w:cs="Times New Roman"/>
          <w:color w:val="FF0000"/>
          <w:sz w:val="24"/>
          <w:szCs w:val="24"/>
          <w:vertAlign w:val="superscript"/>
          <w:lang w:eastAsia="en-SG"/>
        </w:rPr>
        <w:t>[4]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In this case, the ERC is an independent quasi-judicial body that has regulatory powers</w:t>
      </w:r>
      <w:r w:rsidRPr="005F5F47">
        <w:rPr>
          <w:rFonts w:ascii="Times New Roman" w:eastAsia="Times New Roman" w:hAnsi="Times New Roman" w:cs="Times New Roman"/>
          <w:color w:val="FF0000"/>
          <w:sz w:val="24"/>
          <w:szCs w:val="24"/>
          <w:vertAlign w:val="superscript"/>
          <w:lang w:eastAsia="en-SG"/>
        </w:rPr>
        <w:t>[5]</w:t>
      </w:r>
      <w:r w:rsidRPr="005F5F47">
        <w:rPr>
          <w:rFonts w:ascii="Times New Roman" w:eastAsia="Times New Roman" w:hAnsi="Times New Roman" w:cs="Times New Roman"/>
          <w:sz w:val="24"/>
          <w:szCs w:val="24"/>
          <w:lang w:eastAsia="en-SG"/>
        </w:rPr>
        <w:t xml:space="preserve"> for the purpose of promoting competition, encouraging market development, ensuring customer choice and penalizing abuse of market power in the restructured electricity industry.</w:t>
      </w:r>
      <w:r w:rsidRPr="005F5F47">
        <w:rPr>
          <w:rFonts w:ascii="Times New Roman" w:eastAsia="Times New Roman" w:hAnsi="Times New Roman" w:cs="Times New Roman"/>
          <w:color w:val="FF0000"/>
          <w:sz w:val="24"/>
          <w:szCs w:val="24"/>
          <w:vertAlign w:val="superscript"/>
          <w:lang w:eastAsia="en-SG"/>
        </w:rPr>
        <w:t>[6]</w:t>
      </w:r>
      <w:r w:rsidRPr="005F5F47">
        <w:rPr>
          <w:rFonts w:ascii="Times New Roman" w:eastAsia="Times New Roman" w:hAnsi="Times New Roman" w:cs="Times New Roman"/>
          <w:sz w:val="24"/>
          <w:szCs w:val="24"/>
          <w:lang w:eastAsia="en-SG"/>
        </w:rPr>
        <w:t xml:space="preserve"> In appropriate cases, the ERC is also authorized to issue cease and desist orders after due notice and hearing.</w:t>
      </w:r>
      <w:r w:rsidRPr="005F5F47">
        <w:rPr>
          <w:rFonts w:ascii="Times New Roman" w:eastAsia="Times New Roman" w:hAnsi="Times New Roman" w:cs="Times New Roman"/>
          <w:color w:val="FF0000"/>
          <w:sz w:val="24"/>
          <w:szCs w:val="24"/>
          <w:vertAlign w:val="superscript"/>
          <w:lang w:eastAsia="en-SG"/>
        </w:rPr>
        <w:t>[7]</w:t>
      </w:r>
      <w:r w:rsidRPr="005F5F47">
        <w:rPr>
          <w:rFonts w:ascii="Times New Roman" w:eastAsia="Times New Roman" w:hAnsi="Times New Roman" w:cs="Times New Roman"/>
          <w:sz w:val="24"/>
          <w:szCs w:val="24"/>
          <w:lang w:eastAsia="en-SG"/>
        </w:rPr>
        <w:t xml:space="preserve"> Indeed, any issue on ERC's action of promulgating ERC Resolution No. 1 is cognizable by the Court through a petition for </w:t>
      </w:r>
      <w:r w:rsidRPr="005F5F47">
        <w:rPr>
          <w:rFonts w:ascii="Times New Roman" w:eastAsia="Times New Roman" w:hAnsi="Times New Roman" w:cs="Times New Roman"/>
          <w:i/>
          <w:iCs/>
          <w:sz w:val="24"/>
          <w:szCs w:val="24"/>
          <w:lang w:eastAsia="en-SG"/>
        </w:rPr>
        <w:t>certiorari</w:t>
      </w:r>
      <w:r w:rsidRPr="005F5F47">
        <w:rPr>
          <w:rFonts w:ascii="Times New Roman" w:eastAsia="Times New Roman" w:hAnsi="Times New Roman" w:cs="Times New Roman"/>
          <w:sz w:val="24"/>
          <w:szCs w:val="24"/>
          <w:lang w:eastAsia="en-SG"/>
        </w:rPr>
        <w:t xml:space="preserve"> or prohibition, but only if ERC has acted (1) without or in excess of its jurisdiction, or (2) with grave abuse of discretion amounting to lack or excess of jurisdiction.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As earlier mentioned, ERC has not committed any of these two acts.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To begin with, there is no doubt that the ERC has the power to promulgate rules and regulations that concern the exercise of its mandate. In issuing ERC Resolution No. 1, ERC acted within its jurisdiction.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According to the case of </w:t>
      </w:r>
      <w:r w:rsidRPr="005F5F47">
        <w:rPr>
          <w:rFonts w:ascii="Times New Roman" w:eastAsia="Times New Roman" w:hAnsi="Times New Roman" w:cs="Times New Roman"/>
          <w:i/>
          <w:iCs/>
          <w:sz w:val="24"/>
          <w:szCs w:val="24"/>
          <w:lang w:eastAsia="en-SG"/>
        </w:rPr>
        <w:t xml:space="preserve">Alliance for the Family Foundation, Philippines, Inc., (ALFI) v. </w:t>
      </w:r>
      <w:proofErr w:type="spellStart"/>
      <w:r w:rsidRPr="005F5F47">
        <w:rPr>
          <w:rFonts w:ascii="Times New Roman" w:eastAsia="Times New Roman" w:hAnsi="Times New Roman" w:cs="Times New Roman"/>
          <w:i/>
          <w:iCs/>
          <w:sz w:val="24"/>
          <w:szCs w:val="24"/>
          <w:lang w:eastAsia="en-SG"/>
        </w:rPr>
        <w:t>Garin</w:t>
      </w:r>
      <w:proofErr w:type="spellEnd"/>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8]</w:t>
      </w:r>
      <w:r w:rsidRPr="005F5F47">
        <w:rPr>
          <w:rFonts w:ascii="Times New Roman" w:eastAsia="Times New Roman" w:hAnsi="Times New Roman" w:cs="Times New Roman"/>
          <w:sz w:val="24"/>
          <w:szCs w:val="24"/>
          <w:lang w:eastAsia="en-SG"/>
        </w:rPr>
        <w:t xml:space="preserve"> the powers of an administrative body are classified into two fundamental powers: quasi-legislative and quasi-judicial. Quasi-legislative power—that which is relevant in this case—has been defined as "the authority delegated by the </w:t>
      </w:r>
      <w:proofErr w:type="spellStart"/>
      <w:r w:rsidRPr="005F5F47">
        <w:rPr>
          <w:rFonts w:ascii="Times New Roman" w:eastAsia="Times New Roman" w:hAnsi="Times New Roman" w:cs="Times New Roman"/>
          <w:sz w:val="24"/>
          <w:szCs w:val="24"/>
          <w:lang w:eastAsia="en-SG"/>
        </w:rPr>
        <w:t>lawmaking</w:t>
      </w:r>
      <w:proofErr w:type="spellEnd"/>
      <w:r w:rsidRPr="005F5F47">
        <w:rPr>
          <w:rFonts w:ascii="Times New Roman" w:eastAsia="Times New Roman" w:hAnsi="Times New Roman" w:cs="Times New Roman"/>
          <w:sz w:val="24"/>
          <w:szCs w:val="24"/>
          <w:lang w:eastAsia="en-SG"/>
        </w:rPr>
        <w:t xml:space="preserve"> body to the administrative body to adopt rules and regulations intended to carry out the provisions of law and implement legislative policy."</w:t>
      </w:r>
      <w:r w:rsidRPr="005F5F47">
        <w:rPr>
          <w:rFonts w:ascii="Times New Roman" w:eastAsia="Times New Roman" w:hAnsi="Times New Roman" w:cs="Times New Roman"/>
          <w:color w:val="FF0000"/>
          <w:sz w:val="24"/>
          <w:szCs w:val="24"/>
          <w:vertAlign w:val="superscript"/>
          <w:lang w:eastAsia="en-SG"/>
        </w:rPr>
        <w:t>[9]</w:t>
      </w:r>
      <w:r w:rsidRPr="005F5F47">
        <w:rPr>
          <w:rFonts w:ascii="Times New Roman" w:eastAsia="Times New Roman" w:hAnsi="Times New Roman" w:cs="Times New Roman"/>
          <w:sz w:val="24"/>
          <w:szCs w:val="24"/>
          <w:lang w:eastAsia="en-SG"/>
        </w:rPr>
        <w:t xml:space="preserve"> It is in the nature of subordinate legislation, which is "designed to implement a primary legislation by providing the details thereof."</w:t>
      </w:r>
      <w:r w:rsidRPr="005F5F47">
        <w:rPr>
          <w:rFonts w:ascii="Times New Roman" w:eastAsia="Times New Roman" w:hAnsi="Times New Roman" w:cs="Times New Roman"/>
          <w:color w:val="FF0000"/>
          <w:sz w:val="24"/>
          <w:szCs w:val="24"/>
          <w:vertAlign w:val="superscript"/>
          <w:lang w:eastAsia="en-SG"/>
        </w:rPr>
        <w:t>[10]</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ERC is granted this quasi-legislative power by no less than Sections 43 (Functions of the ERC) and 45 (Cross Ownership, Market Power Abuse And Anti-Competitive </w:t>
      </w:r>
      <w:proofErr w:type="spellStart"/>
      <w:r w:rsidRPr="005F5F47">
        <w:rPr>
          <w:rFonts w:ascii="Times New Roman" w:eastAsia="Times New Roman" w:hAnsi="Times New Roman" w:cs="Times New Roman"/>
          <w:sz w:val="24"/>
          <w:szCs w:val="24"/>
          <w:lang w:eastAsia="en-SG"/>
        </w:rPr>
        <w:t>Behavior</w:t>
      </w:r>
      <w:proofErr w:type="spellEnd"/>
      <w:r w:rsidRPr="005F5F47">
        <w:rPr>
          <w:rFonts w:ascii="Times New Roman" w:eastAsia="Times New Roman" w:hAnsi="Times New Roman" w:cs="Times New Roman"/>
          <w:sz w:val="24"/>
          <w:szCs w:val="24"/>
          <w:lang w:eastAsia="en-SG"/>
        </w:rPr>
        <w:t>) of R.A. No. 9136, otherwise known as the "Electric Power Industry Reform Act of 2001" (EPIRA).</w:t>
      </w:r>
      <w:r w:rsidRPr="005F5F47">
        <w:rPr>
          <w:rFonts w:ascii="Times New Roman" w:eastAsia="Times New Roman" w:hAnsi="Times New Roman" w:cs="Times New Roman"/>
          <w:color w:val="FF0000"/>
          <w:sz w:val="24"/>
          <w:szCs w:val="24"/>
          <w:vertAlign w:val="superscript"/>
          <w:lang w:eastAsia="en-SG"/>
        </w:rPr>
        <w:t>[11]</w:t>
      </w:r>
      <w:r w:rsidRPr="005F5F47">
        <w:rPr>
          <w:rFonts w:ascii="Times New Roman" w:eastAsia="Times New Roman" w:hAnsi="Times New Roman" w:cs="Times New Roman"/>
          <w:sz w:val="24"/>
          <w:szCs w:val="24"/>
          <w:lang w:eastAsia="en-SG"/>
        </w:rPr>
        <w:t xml:space="preserve"> In fact, EPIRA's implementing rules and regulations (IRR) specified this rule-making power in stating:</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Section 4. Responsibilities of the ERC.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proofErr w:type="gramStart"/>
      <w:r w:rsidRPr="005F5F47">
        <w:rPr>
          <w:rFonts w:ascii="Times New Roman" w:eastAsia="Times New Roman" w:hAnsi="Times New Roman" w:cs="Times New Roman"/>
          <w:sz w:val="24"/>
          <w:szCs w:val="24"/>
          <w:lang w:eastAsia="en-SG"/>
        </w:rPr>
        <w:t>x</w:t>
      </w:r>
      <w:proofErr w:type="spellEnd"/>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(b) Pursuant to Sections 43 and 45 of the Act, </w:t>
      </w:r>
      <w:r w:rsidRPr="005F5F47">
        <w:rPr>
          <w:rFonts w:ascii="Times New Roman" w:eastAsia="Times New Roman" w:hAnsi="Times New Roman" w:cs="Times New Roman"/>
          <w:b/>
          <w:bCs/>
          <w:sz w:val="24"/>
          <w:szCs w:val="24"/>
          <w:u w:val="single"/>
          <w:lang w:eastAsia="en-SG"/>
        </w:rPr>
        <w:t>the ERC shall promulgate such rules and regulations as authorized thereby</w:t>
      </w:r>
      <w:r w:rsidRPr="005F5F47">
        <w:rPr>
          <w:rFonts w:ascii="Times New Roman" w:eastAsia="Times New Roman" w:hAnsi="Times New Roman" w:cs="Times New Roman"/>
          <w:sz w:val="24"/>
          <w:szCs w:val="24"/>
          <w:lang w:eastAsia="en-SG"/>
        </w:rPr>
        <w:t>, including but not limited to Competition Rules and limitations on recovery of system losses, and shall impose fines or penalties for any non-compliance with or breach of the Act, these Rules and the rules and regulations which it promulgates or administers.</w:t>
      </w:r>
      <w:r w:rsidRPr="005F5F47">
        <w:rPr>
          <w:rFonts w:ascii="Times New Roman" w:eastAsia="Times New Roman" w:hAnsi="Times New Roman" w:cs="Times New Roman"/>
          <w:color w:val="FF0000"/>
          <w:sz w:val="24"/>
          <w:szCs w:val="24"/>
          <w:vertAlign w:val="superscript"/>
          <w:lang w:eastAsia="en-SG"/>
        </w:rPr>
        <w:t>[12]</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This rule-making power by the ERC is further defined, at least insofar as the CSP implementation is concerned, in Sections 3 and 4 of DOE Circular No. DC2015-06-0008. This circular granted unto the DOE and the ERC the power to jointly issue the "guidelines </w:t>
      </w:r>
      <w:r w:rsidRPr="005F5F47">
        <w:rPr>
          <w:rFonts w:ascii="Times New Roman" w:eastAsia="Times New Roman" w:hAnsi="Times New Roman" w:cs="Times New Roman"/>
          <w:sz w:val="24"/>
          <w:szCs w:val="24"/>
          <w:lang w:eastAsia="en-SG"/>
        </w:rPr>
        <w:lastRenderedPageBreak/>
        <w:t>and procedures for the aggregation of the un-contracted demand requirements of the DUs and the process for the recognition or accreditation of the Third Party that conducts the CSP." It also empowered the ERC, "upon its determination and in coordination with the DOE [to] issue supplemental guidelines and procedures to properly guide the DUs and the Third Party in the design and execution of the CSP." The provisions read:</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Section 3. Standard Features in the Conduct of CSP.</w:t>
      </w:r>
      <w:r w:rsidRPr="005F5F47">
        <w:rPr>
          <w:rFonts w:ascii="Times New Roman" w:eastAsia="Times New Roman" w:hAnsi="Times New Roman" w:cs="Times New Roman"/>
          <w:sz w:val="24"/>
          <w:szCs w:val="24"/>
          <w:lang w:eastAsia="en-SG"/>
        </w:rPr>
        <w:t xml:space="preserve"> After the effectivity of this Circular, all DUs shall procure PSAs only through CSP conducted through a Third Party duly recognized by the ERC and the DOE. In the case of ECs, the Third Party shall also be duly recognized by the National Electrification Administration (NEA).</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Within one hundred twenty (120) days from the effectivity of this Circular, the ERC and DOE shall jointly issue the guidelines and procedures for the aggregation of the un-contracted demand requirements of the DUs and the process for the recognition or accreditation of the Third Party that conducts the CSP as hereto provided.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Section 4. Supplemental Guidelines.</w:t>
      </w:r>
      <w:r w:rsidRPr="005F5F47">
        <w:rPr>
          <w:rFonts w:ascii="Times New Roman" w:eastAsia="Times New Roman" w:hAnsi="Times New Roman" w:cs="Times New Roman"/>
          <w:sz w:val="24"/>
          <w:szCs w:val="24"/>
          <w:lang w:eastAsia="en-SG"/>
        </w:rPr>
        <w:t xml:space="preserve"> To ensure efficiency and transparency of the CSP Process [sic], the ERC, upon its determination and in coordination with the DOE shall issue supplemental guidelines and procedures to properly guide the DUs and the Third Party in the design and execution of the CSP. The supplemental guidelines should ensure that any CSP and its outcome shall redound to greater transparency in the procurement of electric supply, and promote greater private sector participation in the generation and supply sectors, consistent with the declared polices under the EPIRA</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13]</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On October 20, 2015, almost four (4) months after the issuance of DOE Circular No. DC2015-06-0008 and pursuant to the mandate of its provisions, the DOE and the ERC issued Joint Resolution No. 1, "</w:t>
      </w:r>
      <w:r w:rsidRPr="005F5F47">
        <w:rPr>
          <w:rFonts w:ascii="Times New Roman" w:eastAsia="Times New Roman" w:hAnsi="Times New Roman" w:cs="Times New Roman"/>
          <w:i/>
          <w:iCs/>
          <w:sz w:val="24"/>
          <w:szCs w:val="24"/>
          <w:lang w:eastAsia="en-SG"/>
        </w:rPr>
        <w:t>A Resolution Enjoining All Distribution Utilities To Conduct Competitive Selection Process (CSP) In The Procurement of Supply For Their Captive Market</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[14]</w:t>
      </w:r>
      <w:r w:rsidRPr="005F5F47">
        <w:rPr>
          <w:rFonts w:ascii="Times New Roman" w:eastAsia="Times New Roman" w:hAnsi="Times New Roman" w:cs="Times New Roman"/>
          <w:sz w:val="24"/>
          <w:szCs w:val="24"/>
          <w:lang w:eastAsia="en-SG"/>
        </w:rPr>
        <w:t xml:space="preserve"> In this Joint Resolution, </w:t>
      </w:r>
      <w:r w:rsidRPr="005F5F47">
        <w:rPr>
          <w:rFonts w:ascii="Times New Roman" w:eastAsia="Times New Roman" w:hAnsi="Times New Roman" w:cs="Times New Roman"/>
          <w:b/>
          <w:bCs/>
          <w:sz w:val="24"/>
          <w:szCs w:val="24"/>
          <w:u w:val="single"/>
          <w:lang w:eastAsia="en-SG"/>
        </w:rPr>
        <w:t>the DOE and the ERC agreed that it is the ERC which shall issue the appropriate regulations to implement the CSP</w:t>
      </w:r>
      <w:r w:rsidRPr="005F5F47">
        <w:rPr>
          <w:rFonts w:ascii="Times New Roman" w:eastAsia="Times New Roman" w:hAnsi="Times New Roman" w:cs="Times New Roman"/>
          <w:sz w:val="24"/>
          <w:szCs w:val="24"/>
          <w:lang w:eastAsia="en-SG"/>
        </w:rPr>
        <w:t>. Section 1 of Joint Resolution No. 1 provides:</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Section 1. Competitive Selection Process.</w:t>
      </w:r>
      <w:r w:rsidRPr="005F5F47">
        <w:rPr>
          <w:rFonts w:ascii="Times New Roman" w:eastAsia="Times New Roman" w:hAnsi="Times New Roman" w:cs="Times New Roman"/>
          <w:sz w:val="24"/>
          <w:szCs w:val="24"/>
          <w:lang w:eastAsia="en-SG"/>
        </w:rPr>
        <w:t xml:space="preserve"> Consistent with their respective mandates, the DOE and ERC recognize that Competitive Selection Process (CSP) in the procurement of PSAs by the DUs engenders transparency, enhances security of supply, and ensures stability of electricity prices to captive electricity end-users in the long-term. </w:t>
      </w:r>
      <w:r w:rsidRPr="005F5F47">
        <w:rPr>
          <w:rFonts w:ascii="Times New Roman" w:eastAsia="Times New Roman" w:hAnsi="Times New Roman" w:cs="Times New Roman"/>
          <w:b/>
          <w:bCs/>
          <w:sz w:val="24"/>
          <w:szCs w:val="24"/>
          <w:u w:val="single"/>
          <w:lang w:eastAsia="en-SG"/>
        </w:rPr>
        <w:t>Consequently, by agreement of the DOE and ERC, the ERC shall issue the appropriate regulations to implement the same</w:t>
      </w:r>
      <w:proofErr w:type="gramStart"/>
      <w:r w:rsidRPr="005F5F47">
        <w:rPr>
          <w:rFonts w:ascii="Times New Roman" w:eastAsia="Times New Roman" w:hAnsi="Times New Roman" w:cs="Times New Roman"/>
          <w:b/>
          <w:bCs/>
          <w:sz w:val="24"/>
          <w:szCs w:val="24"/>
          <w:u w:val="single"/>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15]</w:t>
      </w:r>
      <w:r w:rsidRPr="005F5F47">
        <w:rPr>
          <w:rFonts w:ascii="Times New Roman" w:eastAsia="Times New Roman" w:hAnsi="Times New Roman" w:cs="Times New Roman"/>
          <w:sz w:val="24"/>
          <w:szCs w:val="24"/>
          <w:lang w:eastAsia="en-SG"/>
        </w:rPr>
        <w:t xml:space="preserve"> (Emphasis supplied)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Thus, while the language of DOE Circular No. DC2015-06-0008 empowers the DOE and the ERC jointly to issue the relevant guidelines in the implementation of the CSP, in turn, the DOE, through Joint Resolution No. 1, gave its concurrence to and duly empowered the ERC to act and to issue the appropriate regulations.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On the strength of the provisions of the EPIRA, EPIRA's IRR, DOE Circular No. DC2015-06-0008, and Joint Resolution No. 1, the ERC thence promulgated ERC Resolution No. 13, as well as the assailed ERC Resolution No. 1. These resolutions contained the relevant rules and regulations that govern the implementation of the CSP policy of the government—a power which has been specifically delegated to the ERC and to no other. Notably, none of the parties in this case challenged this power. In fact, this authority was recognized by the DOE in its Letter dated January 18, 2016 when it requested the ERC to allow an electric </w:t>
      </w:r>
      <w:r w:rsidRPr="005F5F47">
        <w:rPr>
          <w:rFonts w:ascii="Times New Roman" w:eastAsia="Times New Roman" w:hAnsi="Times New Roman" w:cs="Times New Roman"/>
          <w:sz w:val="24"/>
          <w:szCs w:val="24"/>
          <w:lang w:eastAsia="en-SG"/>
        </w:rPr>
        <w:lastRenderedPageBreak/>
        <w:t>cooperative to directly negotiate with a power supplier despite the CSP requirement</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16]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In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however, it was stated that the ERC had no authority to issue ERC Resolution No. 1, because the ERC cannot </w:t>
      </w:r>
      <w:r w:rsidRPr="005F5F47">
        <w:rPr>
          <w:rFonts w:ascii="Times New Roman" w:eastAsia="Times New Roman" w:hAnsi="Times New Roman" w:cs="Times New Roman"/>
          <w:i/>
          <w:iCs/>
          <w:sz w:val="24"/>
          <w:szCs w:val="24"/>
          <w:lang w:eastAsia="en-SG"/>
        </w:rPr>
        <w:t>unilaterally</w:t>
      </w:r>
      <w:r w:rsidRPr="005F5F47">
        <w:rPr>
          <w:rFonts w:ascii="Times New Roman" w:eastAsia="Times New Roman" w:hAnsi="Times New Roman" w:cs="Times New Roman"/>
          <w:sz w:val="24"/>
          <w:szCs w:val="24"/>
          <w:lang w:eastAsia="en-SG"/>
        </w:rPr>
        <w:t xml:space="preserve"> restate the effectivity of its earlier resolution for doing so violates DOE Circular No. DC2015-06-0008. It was likewise explained therein that "the DOE Circular [No. DC2015-06-0008] </w:t>
      </w:r>
      <w:r w:rsidRPr="005F5F47">
        <w:rPr>
          <w:rFonts w:ascii="Times New Roman" w:eastAsia="Times New Roman" w:hAnsi="Times New Roman" w:cs="Times New Roman"/>
          <w:b/>
          <w:bCs/>
          <w:sz w:val="24"/>
          <w:szCs w:val="24"/>
          <w:u w:val="single"/>
          <w:lang w:eastAsia="en-SG"/>
        </w:rPr>
        <w:t>specifically stated</w:t>
      </w:r>
      <w:r w:rsidRPr="005F5F47">
        <w:rPr>
          <w:rFonts w:ascii="Times New Roman" w:eastAsia="Times New Roman" w:hAnsi="Times New Roman" w:cs="Times New Roman"/>
          <w:sz w:val="24"/>
          <w:szCs w:val="24"/>
          <w:lang w:eastAsia="en-SG"/>
        </w:rPr>
        <w:t xml:space="preserve"> that </w:t>
      </w:r>
      <w:r w:rsidRPr="005F5F47">
        <w:rPr>
          <w:rFonts w:ascii="Times New Roman" w:eastAsia="Times New Roman" w:hAnsi="Times New Roman" w:cs="Times New Roman"/>
          <w:b/>
          <w:bCs/>
          <w:sz w:val="24"/>
          <w:szCs w:val="24"/>
          <w:u w:val="single"/>
          <w:lang w:eastAsia="en-SG"/>
        </w:rPr>
        <w:t>the ERC's power to issue CSP guidelines and procedures should be done in coordination with the DOE</w:t>
      </w:r>
      <w:r w:rsidRPr="005F5F47">
        <w:rPr>
          <w:rFonts w:ascii="Times New Roman" w:eastAsia="Times New Roman" w:hAnsi="Times New Roman" w:cs="Times New Roman"/>
          <w:sz w:val="24"/>
          <w:szCs w:val="24"/>
          <w:lang w:eastAsia="en-SG"/>
        </w:rPr>
        <w:t xml:space="preserve">." That the ERC "restated" the date of effectivity unilaterally is, according to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an "amendment" of DOE Circular No. DC2015-06-0008, which the ERC could not do.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further held that the ERC is empowered only to issue "supplemental guidelines and procedures" as this is the only power granted by Section 4 of DOE Circular No. DC2015-06-0008 to the ERC.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Likewise,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declared that ERC Resolution No. 1 is void because it was issued without the concurrence of the DOE, and as such, it was in excess of ERC s rule-making power.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Finally,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further launched a full discourse on the power of the DOE </w:t>
      </w:r>
      <w:r w:rsidRPr="005F5F47">
        <w:rPr>
          <w:rFonts w:ascii="Times New Roman" w:eastAsia="Times New Roman" w:hAnsi="Times New Roman" w:cs="Times New Roman"/>
          <w:i/>
          <w:iCs/>
          <w:sz w:val="24"/>
          <w:szCs w:val="24"/>
          <w:lang w:eastAsia="en-SG"/>
        </w:rPr>
        <w:t>vis-a-vis</w:t>
      </w:r>
      <w:r w:rsidRPr="005F5F47">
        <w:rPr>
          <w:rFonts w:ascii="Times New Roman" w:eastAsia="Times New Roman" w:hAnsi="Times New Roman" w:cs="Times New Roman"/>
          <w:sz w:val="24"/>
          <w:szCs w:val="24"/>
          <w:lang w:eastAsia="en-SG"/>
        </w:rPr>
        <w:t xml:space="preserve"> the power of the ERC, such that, it argued that, it is the former which formulates the policies, rules, regulations, and circulars concerning the energy sector, and the latter should </w:t>
      </w:r>
      <w:r w:rsidRPr="005F5F47">
        <w:rPr>
          <w:rFonts w:ascii="Times New Roman" w:eastAsia="Times New Roman" w:hAnsi="Times New Roman" w:cs="Times New Roman"/>
          <w:b/>
          <w:bCs/>
          <w:sz w:val="24"/>
          <w:szCs w:val="24"/>
          <w:u w:val="single"/>
          <w:lang w:eastAsia="en-SG"/>
        </w:rPr>
        <w:t>only</w:t>
      </w:r>
      <w:r w:rsidRPr="005F5F47">
        <w:rPr>
          <w:rFonts w:ascii="Times New Roman" w:eastAsia="Times New Roman" w:hAnsi="Times New Roman" w:cs="Times New Roman"/>
          <w:sz w:val="24"/>
          <w:szCs w:val="24"/>
          <w:lang w:eastAsia="en-SG"/>
        </w:rPr>
        <w:t xml:space="preserve"> enforce and implement the same. The opinion likewise quoted in its entirety Section 43 of the EPIRA (enumerating the powers of the ERC) and stated that nothing therein could "supplant" the policies, rules, regulations, or circulars prescribed by the DOE.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however, fails to consider the clear mandate of DOE Circular No. DC2015-06-0008 and Joint Resolution No. 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First, it is not correct to summarily state that the ERC's power is limited to the implementation of a policy dictated by the ERC. It could not be any clearer when Section 3 of DOE Circular No. DC2015-06-0008, as quoted above, specifically stated that "the ERC and DOE shall </w:t>
      </w:r>
      <w:r w:rsidRPr="005F5F47">
        <w:rPr>
          <w:rFonts w:ascii="Times New Roman" w:eastAsia="Times New Roman" w:hAnsi="Times New Roman" w:cs="Times New Roman"/>
          <w:b/>
          <w:bCs/>
          <w:sz w:val="24"/>
          <w:szCs w:val="24"/>
          <w:u w:val="single"/>
          <w:lang w:eastAsia="en-SG"/>
        </w:rPr>
        <w:t>jointly</w:t>
      </w:r>
      <w:r w:rsidRPr="005F5F47">
        <w:rPr>
          <w:rFonts w:ascii="Times New Roman" w:eastAsia="Times New Roman" w:hAnsi="Times New Roman" w:cs="Times New Roman"/>
          <w:sz w:val="24"/>
          <w:szCs w:val="24"/>
          <w:lang w:eastAsia="en-SG"/>
        </w:rPr>
        <w:t xml:space="preserve"> issue the guidelines and procedures for the aggregation of the un-contracted demand requirements of the DUs and the process for the recognition or accreditation of the Third Party that conducts the CSP as hereto provided." This is not a case where the DOE issues a policy and then the ERC implements the policy. As can be read in Section 3, the matter of formulating the guidelines, as well as the rules of procedure for its implementation, falls on </w:t>
      </w:r>
      <w:r w:rsidRPr="005F5F47">
        <w:rPr>
          <w:rFonts w:ascii="Times New Roman" w:eastAsia="Times New Roman" w:hAnsi="Times New Roman" w:cs="Times New Roman"/>
          <w:b/>
          <w:bCs/>
          <w:sz w:val="24"/>
          <w:szCs w:val="24"/>
          <w:u w:val="single"/>
          <w:lang w:eastAsia="en-SG"/>
        </w:rPr>
        <w:t>both</w:t>
      </w:r>
      <w:r w:rsidRPr="005F5F47">
        <w:rPr>
          <w:rFonts w:ascii="Times New Roman" w:eastAsia="Times New Roman" w:hAnsi="Times New Roman" w:cs="Times New Roman"/>
          <w:sz w:val="24"/>
          <w:szCs w:val="24"/>
          <w:lang w:eastAsia="en-SG"/>
        </w:rPr>
        <w:t xml:space="preserve"> the DOE and the ERC.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Second, this joint authority, as it were, is further clarified by Joint Resolution No. 1 where the DOE specifically delegated unto the ERC the power to issue the appropriate regulations to implement the CSP. At the risk of sounding repetitive, this could only mean that, contrary to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the DOE and the ERC already have a "coordination" with regard to their duties of implementing the CSP, and the </w:t>
      </w:r>
      <w:r w:rsidRPr="005F5F47">
        <w:rPr>
          <w:rFonts w:ascii="Times New Roman" w:eastAsia="Times New Roman" w:hAnsi="Times New Roman" w:cs="Times New Roman"/>
          <w:b/>
          <w:bCs/>
          <w:sz w:val="24"/>
          <w:szCs w:val="24"/>
          <w:u w:val="single"/>
          <w:lang w:eastAsia="en-SG"/>
        </w:rPr>
        <w:t>DOE already authorized the ERC to perform this duty</w:t>
      </w:r>
      <w:r w:rsidRPr="005F5F47">
        <w:rPr>
          <w:rFonts w:ascii="Times New Roman" w:eastAsia="Times New Roman" w:hAnsi="Times New Roman" w:cs="Times New Roman"/>
          <w:sz w:val="24"/>
          <w:szCs w:val="24"/>
          <w:lang w:eastAsia="en-SG"/>
        </w:rPr>
        <w:t>. Again, the ERC in this case is not a mere implementing agency, rather, it is the main agency tasked and empowered to lay the ground for the new selection process, the same being the agency which has the direct contact with the affected stakeholders of the energy sector.</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Indeed, even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recognized this when it was mentioned that:</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Joint Resolution No. 1 (Joint Resolution), executed by the DOE and the ERC on 20 October 2015, </w:t>
      </w:r>
      <w:proofErr w:type="gramStart"/>
      <w:r w:rsidRPr="005F5F47">
        <w:rPr>
          <w:rFonts w:ascii="Times New Roman" w:eastAsia="Times New Roman" w:hAnsi="Times New Roman" w:cs="Times New Roman"/>
          <w:sz w:val="24"/>
          <w:szCs w:val="24"/>
          <w:lang w:eastAsia="en-SG"/>
        </w:rPr>
        <w:t>reiterated</w:t>
      </w:r>
      <w:proofErr w:type="gramEnd"/>
      <w:r w:rsidRPr="005F5F47">
        <w:rPr>
          <w:rFonts w:ascii="Times New Roman" w:eastAsia="Times New Roman" w:hAnsi="Times New Roman" w:cs="Times New Roman"/>
          <w:sz w:val="24"/>
          <w:szCs w:val="24"/>
          <w:lang w:eastAsia="en-SG"/>
        </w:rPr>
        <w:t xml:space="preserve"> that </w:t>
      </w:r>
      <w:r w:rsidRPr="005F5F47">
        <w:rPr>
          <w:rFonts w:ascii="Times New Roman" w:eastAsia="Times New Roman" w:hAnsi="Times New Roman" w:cs="Times New Roman"/>
          <w:b/>
          <w:bCs/>
          <w:sz w:val="24"/>
          <w:szCs w:val="24"/>
          <w:u w:val="single"/>
          <w:lang w:eastAsia="en-SG"/>
        </w:rPr>
        <w:t>the ERC shall issue the appropriate regulations to implement the CSP</w:t>
      </w:r>
      <w:r w:rsidRPr="005F5F47">
        <w:rPr>
          <w:rFonts w:ascii="Times New Roman" w:eastAsia="Times New Roman" w:hAnsi="Times New Roman" w:cs="Times New Roman"/>
          <w:sz w:val="24"/>
          <w:szCs w:val="24"/>
          <w:lang w:eastAsia="en-SG"/>
        </w:rPr>
        <w:t xml:space="preserve">.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(Emphasis and underscoring supplied)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lastRenderedPageBreak/>
        <w:t xml:space="preserve">Third, it is also misplaced to say that the ERC has no power at all to formulate the rules and regulations concerning the CSP because, according to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the same power does not appear in the enumeration of the ERC's functions in Section 43 of the EPIRA. But paragraph (m) of the same section in fact authorizes the ERC to</w:t>
      </w:r>
      <w:proofErr w:type="gramStart"/>
      <w:r w:rsidRPr="005F5F47">
        <w:rPr>
          <w:rFonts w:ascii="Times New Roman" w:eastAsia="Times New Roman" w:hAnsi="Times New Roman" w:cs="Times New Roman"/>
          <w:sz w:val="24"/>
          <w:szCs w:val="24"/>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(m) Take any action delegated to it pursuant to this Act;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This function, taken together with the DOE and ERC's joint authority accorded by Section 3 of DOE Circular No. DC2015-06-0008 and the specific delegation in Section 1 of Joint Resolution No. 1, is more than enough to dispel any accusation of impropriety or any lack of authority to the ERC's issuance of the assailed resolution. In the language of Section 43 of the EPIRA, the ERC did not "supplant" the policies, rules, regulations, or circulars prescribed by the DOE, instead, the ERC merely accepted the action "delegated" to it pursuant to DOE Circular No. DC2015-06-0008 and Joint Resolution No. 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Finally, it must also be emphasized that Joint Resolution No. 1 speaks of the "</w:t>
      </w:r>
      <w:r w:rsidRPr="005F5F47">
        <w:rPr>
          <w:rFonts w:ascii="Times New Roman" w:eastAsia="Times New Roman" w:hAnsi="Times New Roman" w:cs="Times New Roman"/>
          <w:b/>
          <w:bCs/>
          <w:sz w:val="24"/>
          <w:szCs w:val="24"/>
          <w:lang w:eastAsia="en-SG"/>
        </w:rPr>
        <w:t>appropriate regulations</w:t>
      </w:r>
      <w:r w:rsidRPr="005F5F47">
        <w:rPr>
          <w:rFonts w:ascii="Times New Roman" w:eastAsia="Times New Roman" w:hAnsi="Times New Roman" w:cs="Times New Roman"/>
          <w:sz w:val="24"/>
          <w:szCs w:val="24"/>
          <w:lang w:eastAsia="en-SG"/>
        </w:rPr>
        <w:t>," and not merely of "guidelines and procedures" or of "supplemental guidelines" to implement the CSP. As a regulatory agency, one which is "vested with jurisdiction to regulate, administer or adjudicate matters affecting substantial rights and interests of private persons, the principal powers of which are exercised by a collective body, such as a commission, board or council,"</w:t>
      </w:r>
      <w:r w:rsidRPr="005F5F47">
        <w:rPr>
          <w:rFonts w:ascii="Times New Roman" w:eastAsia="Times New Roman" w:hAnsi="Times New Roman" w:cs="Times New Roman"/>
          <w:color w:val="FF0000"/>
          <w:sz w:val="24"/>
          <w:szCs w:val="24"/>
          <w:vertAlign w:val="superscript"/>
          <w:lang w:eastAsia="en-SG"/>
        </w:rPr>
        <w:t>[17]</w:t>
      </w:r>
      <w:r w:rsidRPr="005F5F47">
        <w:rPr>
          <w:rFonts w:ascii="Times New Roman" w:eastAsia="Times New Roman" w:hAnsi="Times New Roman" w:cs="Times New Roman"/>
          <w:sz w:val="24"/>
          <w:szCs w:val="24"/>
          <w:lang w:eastAsia="en-SG"/>
        </w:rPr>
        <w:t xml:space="preserve"> the ERC clearly is empowered to promulgate the assailed resolution.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To be sure, in promulgating ERC Resolution No. 13, as well as ERC Resolution No. 1, the ERC acted </w:t>
      </w:r>
      <w:r w:rsidRPr="005F5F47">
        <w:rPr>
          <w:rFonts w:ascii="Times New Roman" w:eastAsia="Times New Roman" w:hAnsi="Times New Roman" w:cs="Times New Roman"/>
          <w:i/>
          <w:iCs/>
          <w:sz w:val="24"/>
          <w:szCs w:val="24"/>
          <w:lang w:eastAsia="en-SG"/>
        </w:rPr>
        <w:t>within</w:t>
      </w:r>
      <w:r w:rsidRPr="005F5F47">
        <w:rPr>
          <w:rFonts w:ascii="Times New Roman" w:eastAsia="Times New Roman" w:hAnsi="Times New Roman" w:cs="Times New Roman"/>
          <w:sz w:val="24"/>
          <w:szCs w:val="24"/>
          <w:lang w:eastAsia="en-SG"/>
        </w:rPr>
        <w:t xml:space="preserve"> its jurisdiction.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This said, the focus of this Dissenting Opinion now shifts to whether or not the ERC, in promulgating the assailed resolution, acted with grave abuse of discretion amounting to lack or excess of jurisdiction.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Again, the Court answers in the negative.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The term grave abuse of discretion has a specific meaning. It has been defined as the arbitrary or despotic exercise of power due to passion, prejudice or personal hostility; or the whimsical, arbitrary, or capricious exercise of power that amounts to an evasion or refusal to perform a positive duty enjoined by law or to act at all in contemplation of law</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18]</w:t>
      </w:r>
      <w:r w:rsidRPr="005F5F47">
        <w:rPr>
          <w:rFonts w:ascii="Times New Roman" w:eastAsia="Times New Roman" w:hAnsi="Times New Roman" w:cs="Times New Roman"/>
          <w:sz w:val="24"/>
          <w:szCs w:val="24"/>
          <w:lang w:eastAsia="en-SG"/>
        </w:rPr>
        <w:t xml:space="preserve"> According to the case of </w:t>
      </w:r>
      <w:r w:rsidRPr="005F5F47">
        <w:rPr>
          <w:rFonts w:ascii="Times New Roman" w:eastAsia="Times New Roman" w:hAnsi="Times New Roman" w:cs="Times New Roman"/>
          <w:i/>
          <w:iCs/>
          <w:sz w:val="24"/>
          <w:szCs w:val="24"/>
          <w:lang w:eastAsia="en-SG"/>
        </w:rPr>
        <w:t>John Dennis G. Chua v. People of the Philippines</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19]</w:t>
      </w:r>
      <w:r w:rsidRPr="005F5F47">
        <w:rPr>
          <w:rFonts w:ascii="Times New Roman" w:eastAsia="Times New Roman" w:hAnsi="Times New Roman" w:cs="Times New Roman"/>
          <w:sz w:val="24"/>
          <w:szCs w:val="24"/>
          <w:lang w:eastAsia="en-SG"/>
        </w:rPr>
        <w:t xml:space="preserve"> citing </w:t>
      </w:r>
      <w:r w:rsidRPr="005F5F47">
        <w:rPr>
          <w:rFonts w:ascii="Times New Roman" w:eastAsia="Times New Roman" w:hAnsi="Times New Roman" w:cs="Times New Roman"/>
          <w:i/>
          <w:iCs/>
          <w:sz w:val="24"/>
          <w:szCs w:val="24"/>
          <w:lang w:eastAsia="en-SG"/>
        </w:rPr>
        <w:t>Yu v. Judge Reyes-</w:t>
      </w:r>
      <w:proofErr w:type="spellStart"/>
      <w:r w:rsidRPr="005F5F47">
        <w:rPr>
          <w:rFonts w:ascii="Times New Roman" w:eastAsia="Times New Roman" w:hAnsi="Times New Roman" w:cs="Times New Roman"/>
          <w:i/>
          <w:iCs/>
          <w:sz w:val="24"/>
          <w:szCs w:val="24"/>
          <w:lang w:eastAsia="en-SG"/>
        </w:rPr>
        <w:t>Carpio</w:t>
      </w:r>
      <w:proofErr w:type="spellEnd"/>
      <w:r w:rsidRPr="005F5F47">
        <w:rPr>
          <w:rFonts w:ascii="Times New Roman" w:eastAsia="Times New Roman" w:hAnsi="Times New Roman" w:cs="Times New Roman"/>
          <w:i/>
          <w:iCs/>
          <w:sz w:val="24"/>
          <w:szCs w:val="24"/>
          <w:lang w:eastAsia="en-SG"/>
        </w:rPr>
        <w:t>, et al.</w:t>
      </w:r>
      <w:r w:rsidRPr="005F5F47">
        <w:rPr>
          <w:rFonts w:ascii="Times New Roman" w:eastAsia="Times New Roman" w:hAnsi="Times New Roman" w:cs="Times New Roman"/>
          <w:color w:val="FF0000"/>
          <w:sz w:val="24"/>
          <w:szCs w:val="24"/>
          <w:vertAlign w:val="superscript"/>
          <w:lang w:eastAsia="en-SG"/>
        </w:rPr>
        <w:t>[20]</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w:t>
      </w:r>
      <w:proofErr w:type="gramStart"/>
      <w:r w:rsidRPr="005F5F47">
        <w:rPr>
          <w:rFonts w:ascii="Times New Roman" w:eastAsia="Times New Roman" w:hAnsi="Times New Roman" w:cs="Times New Roman"/>
          <w:sz w:val="24"/>
          <w:szCs w:val="24"/>
          <w:lang w:eastAsia="en-SG"/>
        </w:rPr>
        <w:t>a]</w:t>
      </w:r>
      <w:proofErr w:type="gramEnd"/>
      <w:r w:rsidRPr="005F5F47">
        <w:rPr>
          <w:rFonts w:ascii="Times New Roman" w:eastAsia="Times New Roman" w:hAnsi="Times New Roman" w:cs="Times New Roman"/>
          <w:sz w:val="24"/>
          <w:szCs w:val="24"/>
          <w:lang w:eastAsia="en-SG"/>
        </w:rPr>
        <w:t xml:space="preserve">n act of a court or tribunal can only be considered as with grave abuse of discretion when such act is done in a "capricious or whimsical exercise of judgment as is equivalent to lack of jurisdiction." The abuse of discretion must be </w:t>
      </w:r>
      <w:proofErr w:type="gramStart"/>
      <w:r w:rsidRPr="005F5F47">
        <w:rPr>
          <w:rFonts w:ascii="Times New Roman" w:eastAsia="Times New Roman" w:hAnsi="Times New Roman" w:cs="Times New Roman"/>
          <w:sz w:val="24"/>
          <w:szCs w:val="24"/>
          <w:lang w:eastAsia="en-SG"/>
        </w:rPr>
        <w:t>so</w:t>
      </w:r>
      <w:proofErr w:type="gramEnd"/>
      <w:r w:rsidRPr="005F5F47">
        <w:rPr>
          <w:rFonts w:ascii="Times New Roman" w:eastAsia="Times New Roman" w:hAnsi="Times New Roman" w:cs="Times New Roman"/>
          <w:sz w:val="24"/>
          <w:szCs w:val="24"/>
          <w:lang w:eastAsia="en-SG"/>
        </w:rPr>
        <w:t xml:space="preserve"> patent and gross as to amount to an "evasion of a positive duty or to a virtual refusal to perform a duty enjoined by law, or to act at all in contemplation of law, as where the power is exercised in an arbitrary and despotic manner by reason of passion and hostility."</w:t>
      </w:r>
      <w:r w:rsidRPr="005F5F47">
        <w:rPr>
          <w:rFonts w:ascii="Times New Roman" w:eastAsia="Times New Roman" w:hAnsi="Times New Roman" w:cs="Times New Roman"/>
          <w:color w:val="FF0000"/>
          <w:sz w:val="24"/>
          <w:szCs w:val="24"/>
          <w:vertAlign w:val="superscript"/>
          <w:lang w:eastAsia="en-SG"/>
        </w:rPr>
        <w:t>[21]</w:t>
      </w:r>
      <w:r w:rsidRPr="005F5F47">
        <w:rPr>
          <w:rFonts w:ascii="Times New Roman" w:eastAsia="Times New Roman" w:hAnsi="Times New Roman" w:cs="Times New Roman"/>
          <w:sz w:val="24"/>
          <w:szCs w:val="24"/>
          <w:lang w:eastAsia="en-SG"/>
        </w:rPr>
        <w:t xml:space="preserve"> (Citations omitted)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"For an act to be struck down as having been done with grave abuse of discretion, the abuse of discretion must be patent and gross."</w:t>
      </w:r>
      <w:r w:rsidRPr="005F5F47">
        <w:rPr>
          <w:rFonts w:ascii="Times New Roman" w:eastAsia="Times New Roman" w:hAnsi="Times New Roman" w:cs="Times New Roman"/>
          <w:color w:val="FF0000"/>
          <w:sz w:val="24"/>
          <w:szCs w:val="24"/>
          <w:vertAlign w:val="superscript"/>
          <w:lang w:eastAsia="en-SG"/>
        </w:rPr>
        <w:t>[22</w:t>
      </w:r>
      <w:proofErr w:type="gramStart"/>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In this instance, the ERC has sufficiently established that "restating" the effectivity of ERC Resolution No. 13 at a later date is not exercised whimsically or capriciously. Neither is it an arbitrary exercise of power by reason of passion or hostility. Indeed, its issuance is clearly not </w:t>
      </w:r>
      <w:r w:rsidRPr="005F5F47">
        <w:rPr>
          <w:rFonts w:ascii="Times New Roman" w:eastAsia="Times New Roman" w:hAnsi="Times New Roman" w:cs="Times New Roman"/>
          <w:sz w:val="24"/>
          <w:szCs w:val="24"/>
          <w:lang w:eastAsia="en-SG"/>
        </w:rPr>
        <w:lastRenderedPageBreak/>
        <w:t>without basis. In fact, the Court finds that the ratiocination put forth by the Office of the Solicitor General (OSG) is reasonable to justify ERC's action.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First, the implementation of ERC Resolution No. 13 caused an avalanche of concerns and confusion from the stakeholders of the industry regarding the actual implementation of the provisions of the resolution, so much so that a multitude of DUs, mostly electric cooperatives, sought for an exemption from the guidelines in the resolution. There was a real possibility that the implementation of ERC Resolution No. 13 would invariably render nugatory the already pending negotiations among the DUs and generation companies. This fact is proven from the letters sent by SMC Global Power dated November 25, 2015 and December 14, 2015, Philippine Rural Electric Cooperative Association, Inc. dated December 1, 2015, </w:t>
      </w:r>
      <w:proofErr w:type="spellStart"/>
      <w:r w:rsidRPr="005F5F47">
        <w:rPr>
          <w:rFonts w:ascii="Times New Roman" w:eastAsia="Times New Roman" w:hAnsi="Times New Roman" w:cs="Times New Roman"/>
          <w:sz w:val="24"/>
          <w:szCs w:val="24"/>
          <w:lang w:eastAsia="en-SG"/>
        </w:rPr>
        <w:t>Agusan</w:t>
      </w:r>
      <w:proofErr w:type="spellEnd"/>
      <w:r w:rsidRPr="005F5F47">
        <w:rPr>
          <w:rFonts w:ascii="Times New Roman" w:eastAsia="Times New Roman" w:hAnsi="Times New Roman" w:cs="Times New Roman"/>
          <w:sz w:val="24"/>
          <w:szCs w:val="24"/>
          <w:lang w:eastAsia="en-SG"/>
        </w:rPr>
        <w:t xml:space="preserve"> Del </w:t>
      </w:r>
      <w:proofErr w:type="spellStart"/>
      <w:r w:rsidRPr="005F5F47">
        <w:rPr>
          <w:rFonts w:ascii="Times New Roman" w:eastAsia="Times New Roman" w:hAnsi="Times New Roman" w:cs="Times New Roman"/>
          <w:sz w:val="24"/>
          <w:szCs w:val="24"/>
          <w:lang w:eastAsia="en-SG"/>
        </w:rPr>
        <w:t>Norte</w:t>
      </w:r>
      <w:proofErr w:type="spellEnd"/>
      <w:r w:rsidRPr="005F5F47">
        <w:rPr>
          <w:rFonts w:ascii="Times New Roman" w:eastAsia="Times New Roman" w:hAnsi="Times New Roman" w:cs="Times New Roman"/>
          <w:sz w:val="24"/>
          <w:szCs w:val="24"/>
          <w:lang w:eastAsia="en-SG"/>
        </w:rPr>
        <w:t xml:space="preserve"> Electric Cooperative, Inc. dated December 10, 2015, </w:t>
      </w:r>
      <w:proofErr w:type="spellStart"/>
      <w:r w:rsidRPr="005F5F47">
        <w:rPr>
          <w:rFonts w:ascii="Times New Roman" w:eastAsia="Times New Roman" w:hAnsi="Times New Roman" w:cs="Times New Roman"/>
          <w:sz w:val="24"/>
          <w:szCs w:val="24"/>
          <w:lang w:eastAsia="en-SG"/>
        </w:rPr>
        <w:t>Camarines</w:t>
      </w:r>
      <w:proofErr w:type="spellEnd"/>
      <w:r w:rsidRPr="005F5F47">
        <w:rPr>
          <w:rFonts w:ascii="Times New Roman" w:eastAsia="Times New Roman" w:hAnsi="Times New Roman" w:cs="Times New Roman"/>
          <w:sz w:val="24"/>
          <w:szCs w:val="24"/>
          <w:lang w:eastAsia="en-SG"/>
        </w:rPr>
        <w:t xml:space="preserve"> Sur IV Electric Cooperative, Inc. dated December 21, 2015, and </w:t>
      </w:r>
      <w:proofErr w:type="spellStart"/>
      <w:r w:rsidRPr="005F5F47">
        <w:rPr>
          <w:rFonts w:ascii="Times New Roman" w:eastAsia="Times New Roman" w:hAnsi="Times New Roman" w:cs="Times New Roman"/>
          <w:sz w:val="24"/>
          <w:szCs w:val="24"/>
          <w:lang w:eastAsia="en-SG"/>
        </w:rPr>
        <w:t>Aklan</w:t>
      </w:r>
      <w:proofErr w:type="spellEnd"/>
      <w:r w:rsidRPr="005F5F47">
        <w:rPr>
          <w:rFonts w:ascii="Times New Roman" w:eastAsia="Times New Roman" w:hAnsi="Times New Roman" w:cs="Times New Roman"/>
          <w:sz w:val="24"/>
          <w:szCs w:val="24"/>
          <w:lang w:eastAsia="en-SG"/>
        </w:rPr>
        <w:t xml:space="preserve"> Electric Cooperative, Inc. dated March 9, 2016.</w:t>
      </w:r>
      <w:r w:rsidRPr="005F5F47">
        <w:rPr>
          <w:rFonts w:ascii="Times New Roman" w:eastAsia="Times New Roman" w:hAnsi="Times New Roman" w:cs="Times New Roman"/>
          <w:color w:val="FF0000"/>
          <w:sz w:val="24"/>
          <w:szCs w:val="24"/>
          <w:vertAlign w:val="superscript"/>
          <w:lang w:eastAsia="en-SG"/>
        </w:rPr>
        <w:t>[23]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A reading of these letters confronted the ERC with probabilities of discontinuance in the financing of projects during their implementation stage,</w:t>
      </w:r>
      <w:r w:rsidRPr="005F5F47">
        <w:rPr>
          <w:rFonts w:ascii="Times New Roman" w:eastAsia="Times New Roman" w:hAnsi="Times New Roman" w:cs="Times New Roman"/>
          <w:color w:val="FF0000"/>
          <w:sz w:val="24"/>
          <w:szCs w:val="24"/>
          <w:vertAlign w:val="superscript"/>
          <w:lang w:eastAsia="en-SG"/>
        </w:rPr>
        <w:t>[24]</w:t>
      </w:r>
      <w:r w:rsidRPr="005F5F47">
        <w:rPr>
          <w:rFonts w:ascii="Times New Roman" w:eastAsia="Times New Roman" w:hAnsi="Times New Roman" w:cs="Times New Roman"/>
          <w:sz w:val="24"/>
          <w:szCs w:val="24"/>
          <w:lang w:eastAsia="en-SG"/>
        </w:rPr>
        <w:t xml:space="preserve"> aggravation of power shortages,</w:t>
      </w:r>
      <w:r w:rsidRPr="005F5F47">
        <w:rPr>
          <w:rFonts w:ascii="Times New Roman" w:eastAsia="Times New Roman" w:hAnsi="Times New Roman" w:cs="Times New Roman"/>
          <w:color w:val="FF0000"/>
          <w:sz w:val="24"/>
          <w:szCs w:val="24"/>
          <w:vertAlign w:val="superscript"/>
          <w:lang w:eastAsia="en-SG"/>
        </w:rPr>
        <w:t>[25]</w:t>
      </w:r>
      <w:r w:rsidRPr="005F5F47">
        <w:rPr>
          <w:rFonts w:ascii="Times New Roman" w:eastAsia="Times New Roman" w:hAnsi="Times New Roman" w:cs="Times New Roman"/>
          <w:sz w:val="24"/>
          <w:szCs w:val="24"/>
          <w:lang w:eastAsia="en-SG"/>
        </w:rPr>
        <w:t xml:space="preserve"> confusion of ERC Resolution No. 13's applicability on PSAs already filed with the ERC,</w:t>
      </w:r>
      <w:r w:rsidRPr="005F5F47">
        <w:rPr>
          <w:rFonts w:ascii="Times New Roman" w:eastAsia="Times New Roman" w:hAnsi="Times New Roman" w:cs="Times New Roman"/>
          <w:color w:val="FF0000"/>
          <w:sz w:val="24"/>
          <w:szCs w:val="24"/>
          <w:vertAlign w:val="superscript"/>
          <w:lang w:eastAsia="en-SG"/>
        </w:rPr>
        <w:t>[26]</w:t>
      </w:r>
      <w:r w:rsidRPr="005F5F47">
        <w:rPr>
          <w:rFonts w:ascii="Times New Roman" w:eastAsia="Times New Roman" w:hAnsi="Times New Roman" w:cs="Times New Roman"/>
          <w:sz w:val="24"/>
          <w:szCs w:val="24"/>
          <w:lang w:eastAsia="en-SG"/>
        </w:rPr>
        <w:t xml:space="preserve"> disenfranchisement of Power Supply Contracts (PSCs) which have already been signed but were still unfiled to the ERC prior to the effectivity of ERC Resolution No. 13,</w:t>
      </w:r>
      <w:r w:rsidRPr="005F5F47">
        <w:rPr>
          <w:rFonts w:ascii="Times New Roman" w:eastAsia="Times New Roman" w:hAnsi="Times New Roman" w:cs="Times New Roman"/>
          <w:color w:val="FF0000"/>
          <w:sz w:val="24"/>
          <w:szCs w:val="24"/>
          <w:vertAlign w:val="superscript"/>
          <w:lang w:eastAsia="en-SG"/>
        </w:rPr>
        <w:t>[27]</w:t>
      </w:r>
      <w:r w:rsidRPr="005F5F47">
        <w:rPr>
          <w:rFonts w:ascii="Times New Roman" w:eastAsia="Times New Roman" w:hAnsi="Times New Roman" w:cs="Times New Roman"/>
          <w:sz w:val="24"/>
          <w:szCs w:val="24"/>
          <w:lang w:eastAsia="en-SG"/>
        </w:rPr>
        <w:t xml:space="preserve"> and the reality of the necessity of sufficient period within which to complete the applications which are still governed by the rules prior to ERC Resolution No. 13.</w:t>
      </w:r>
      <w:r w:rsidRPr="005F5F47">
        <w:rPr>
          <w:rFonts w:ascii="Times New Roman" w:eastAsia="Times New Roman" w:hAnsi="Times New Roman" w:cs="Times New Roman"/>
          <w:color w:val="FF0000"/>
          <w:sz w:val="24"/>
          <w:szCs w:val="24"/>
          <w:vertAlign w:val="superscript"/>
          <w:lang w:eastAsia="en-SG"/>
        </w:rPr>
        <w:t>[28]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All these concerns were presented to the ERC, which then, by its mandate, acted </w:t>
      </w:r>
      <w:proofErr w:type="spellStart"/>
      <w:r w:rsidRPr="005F5F47">
        <w:rPr>
          <w:rFonts w:ascii="Times New Roman" w:eastAsia="Times New Roman" w:hAnsi="Times New Roman" w:cs="Times New Roman"/>
          <w:sz w:val="24"/>
          <w:szCs w:val="24"/>
          <w:lang w:eastAsia="en-SG"/>
        </w:rPr>
        <w:t>accordmgly</w:t>
      </w:r>
      <w:proofErr w:type="spellEnd"/>
      <w:r w:rsidRPr="005F5F47">
        <w:rPr>
          <w:rFonts w:ascii="Times New Roman" w:eastAsia="Times New Roman" w:hAnsi="Times New Roman" w:cs="Times New Roman"/>
          <w:sz w:val="24"/>
          <w:szCs w:val="24"/>
          <w:lang w:eastAsia="en-SG"/>
        </w:rPr>
        <w:t>. There is wisdom in the OSG's assertion that by granting a period of transition, the ERC would avoid the risk of inconsistency in resolving individual requests for exemptions sought by the DUs, generation companies, and electric cooperatives, while at the same time, it would secure the steady supply of electricity for the same period</w:t>
      </w:r>
      <w:proofErr w:type="gramStart"/>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29]</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mistakenly characterizes ERC's "restatement" of the effectivity of Resolution No. 1 as an "amendment" to DOE Circular No. DC2015-06-0008.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stated that ERC extended the CSP's implementation twice, </w:t>
      </w:r>
      <w:proofErr w:type="spellStart"/>
      <w:r w:rsidRPr="005F5F47">
        <w:rPr>
          <w:rFonts w:ascii="Times New Roman" w:eastAsia="Times New Roman" w:hAnsi="Times New Roman" w:cs="Times New Roman"/>
          <w:sz w:val="24"/>
          <w:szCs w:val="24"/>
          <w:lang w:eastAsia="en-SG"/>
        </w:rPr>
        <w:t>totaling</w:t>
      </w:r>
      <w:proofErr w:type="spellEnd"/>
      <w:r w:rsidRPr="005F5F47">
        <w:rPr>
          <w:rFonts w:ascii="Times New Roman" w:eastAsia="Times New Roman" w:hAnsi="Times New Roman" w:cs="Times New Roman"/>
          <w:sz w:val="24"/>
          <w:szCs w:val="24"/>
          <w:lang w:eastAsia="en-SG"/>
        </w:rPr>
        <w:t xml:space="preserve"> 305 days, which should not be allowed by the Court.</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But this kind of interpretation with regard to the nature of implementing rules and regulations, specifically in this case, disavows the very purpose for which implementing rules and regulations are created.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One, it is a blatant error to state that ERC Resolution No. 13 already "amended" DOE Circular No. DC2015-06-0008 (the first "amendment" according to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While it is true that DOE Circular No. DC2015-06-0008 took effect on June 30, 2015, </w:t>
      </w:r>
      <w:r w:rsidRPr="005F5F47">
        <w:rPr>
          <w:rFonts w:ascii="Times New Roman" w:eastAsia="Times New Roman" w:hAnsi="Times New Roman" w:cs="Times New Roman"/>
          <w:b/>
          <w:bCs/>
          <w:sz w:val="24"/>
          <w:szCs w:val="24"/>
          <w:u w:val="single"/>
          <w:lang w:eastAsia="en-SG"/>
        </w:rPr>
        <w:t>the enforcement of the CSP was not to take effect until after 120 days therefrom</w:t>
      </w:r>
      <w:r w:rsidRPr="005F5F47">
        <w:rPr>
          <w:rFonts w:ascii="Times New Roman" w:eastAsia="Times New Roman" w:hAnsi="Times New Roman" w:cs="Times New Roman"/>
          <w:sz w:val="24"/>
          <w:szCs w:val="24"/>
          <w:lang w:eastAsia="en-SG"/>
        </w:rPr>
        <w:t>. This is because Section 3 of the same circular categorically provided for a 120-day period for the promulgation of the CSP guidelines and procedures. It said:</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Section 3. Standard Features in the Conduct of CSP.</w:t>
      </w:r>
      <w:r w:rsidRPr="005F5F47">
        <w:rPr>
          <w:rFonts w:ascii="Times New Roman" w:eastAsia="Times New Roman" w:hAnsi="Times New Roman" w:cs="Times New Roman"/>
          <w:sz w:val="24"/>
          <w:szCs w:val="24"/>
          <w:lang w:eastAsia="en-SG"/>
        </w:rPr>
        <w:t xml:space="preserve"> After the effectivity of this Circular, all DUs shall procure PSAs only through CSP conducted through a Third Party duly recognized by the ERC and the DOE. In the case of ECs, the Third Party shall also be duly recognized by the National Electrification Administration (NEA).</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lastRenderedPageBreak/>
        <w:br/>
      </w:r>
      <w:r w:rsidRPr="005F5F47">
        <w:rPr>
          <w:rFonts w:ascii="Times New Roman" w:eastAsia="Times New Roman" w:hAnsi="Times New Roman" w:cs="Times New Roman"/>
          <w:b/>
          <w:bCs/>
          <w:sz w:val="24"/>
          <w:szCs w:val="24"/>
          <w:u w:val="single"/>
          <w:lang w:eastAsia="en-SG"/>
        </w:rPr>
        <w:t>Within one hundred twenty (120) days from the effectivity of this Circular, the ERC and DOE shall jointly issue the guidelines and procedures</w:t>
      </w:r>
      <w:r w:rsidRPr="005F5F47">
        <w:rPr>
          <w:rFonts w:ascii="Times New Roman" w:eastAsia="Times New Roman" w:hAnsi="Times New Roman" w:cs="Times New Roman"/>
          <w:sz w:val="24"/>
          <w:szCs w:val="24"/>
          <w:lang w:eastAsia="en-SG"/>
        </w:rPr>
        <w:t xml:space="preserve"> for the aggregation of the un-contracted demand requirements of the DUs and the process for the recognition or accreditation of the Third Party that conducts the CSP as hereto provided. 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(Emphasis and underscoring supplied)</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By promulgating Joint Resolution No. 1 and ERC Resolution No. 13 on October 20, 2015, less than 120 days from the effectivity of DOE Circular No. DC2015-06-0008, both the DOE and ERC merely followed Section 3 thereof. There was no first "amendment" in this case as the </w:t>
      </w:r>
      <w:proofErr w:type="spellStart"/>
      <w:r w:rsidRPr="005F5F47">
        <w:rPr>
          <w:rFonts w:ascii="Times New Roman" w:eastAsia="Times New Roman" w:hAnsi="Times New Roman" w:cs="Times New Roman"/>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concluded, and the Court should not rush into ascribing grave abuse of discretion on the part of ERC for performing its mandate.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Two, it will be absurd to require stakeholders in the energy sector to comply with a new procurement method at the very moment of the circular's promulgation when there is yet no implementing rules and regulations that would guide them on the methodologies of its implementation. In DOE Circular No. DC2015-06-0008, CSPs to be undertaken by DUs are couched in principles, rather than procedure. Section 1 states:</w:t>
      </w:r>
    </w:p>
    <w:p w:rsidR="005F5F47" w:rsidRPr="005F5F47" w:rsidRDefault="005F5F47" w:rsidP="005F5F47">
      <w:pPr>
        <w:spacing w:after="24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Section 1. General Principles.</w:t>
      </w:r>
      <w:r w:rsidRPr="005F5F47">
        <w:rPr>
          <w:rFonts w:ascii="Times New Roman" w:eastAsia="Times New Roman" w:hAnsi="Times New Roman" w:cs="Times New Roman"/>
          <w:sz w:val="24"/>
          <w:szCs w:val="24"/>
          <w:lang w:eastAsia="en-SG"/>
        </w:rPr>
        <w:t xml:space="preserve"> Consistent with its mandate, the DOE recognizes that Competitive Selection Process (CSP) in the procurement of PSAs by the DUs ensures security and certainty of electricity prices of electric power to end-users in the long-term. Towards this end, all CSPs undertaken by the DUs shall be guided by the following principles:</w:t>
      </w:r>
    </w:p>
    <w:tbl>
      <w:tblPr>
        <w:tblW w:w="5000" w:type="pct"/>
        <w:tblCellSpacing w:w="0" w:type="dxa"/>
        <w:tblCellMar>
          <w:left w:w="0" w:type="dxa"/>
          <w:right w:w="0" w:type="dxa"/>
        </w:tblCellMar>
        <w:tblLook w:val="04A0" w:firstRow="1" w:lastRow="0" w:firstColumn="1" w:lastColumn="0" w:noHBand="0" w:noVBand="1"/>
      </w:tblPr>
      <w:tblGrid>
        <w:gridCol w:w="451"/>
        <w:gridCol w:w="8575"/>
      </w:tblGrid>
      <w:tr w:rsidR="005F5F47" w:rsidRPr="005F5F47" w:rsidTr="005F5F47">
        <w:trPr>
          <w:tblCellSpacing w:w="0" w:type="dxa"/>
        </w:trPr>
        <w:tc>
          <w:tcPr>
            <w:tcW w:w="2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(a) </w:t>
            </w:r>
          </w:p>
        </w:tc>
        <w:tc>
          <w:tcPr>
            <w:tcW w:w="47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Increase the transparency needed in the procurement process in order to reduce risks;</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(b)</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Promote and </w:t>
            </w:r>
            <w:proofErr w:type="spellStart"/>
            <w:r w:rsidRPr="005F5F47">
              <w:rPr>
                <w:rFonts w:ascii="Times New Roman" w:eastAsia="Times New Roman" w:hAnsi="Times New Roman" w:cs="Times New Roman"/>
                <w:sz w:val="24"/>
                <w:szCs w:val="24"/>
                <w:lang w:eastAsia="en-SG"/>
              </w:rPr>
              <w:t>instill</w:t>
            </w:r>
            <w:proofErr w:type="spellEnd"/>
            <w:r w:rsidRPr="005F5F47">
              <w:rPr>
                <w:rFonts w:ascii="Times New Roman" w:eastAsia="Times New Roman" w:hAnsi="Times New Roman" w:cs="Times New Roman"/>
                <w:sz w:val="24"/>
                <w:szCs w:val="24"/>
                <w:lang w:eastAsia="en-SG"/>
              </w:rPr>
              <w:t xml:space="preserve"> competition in the procurement and supply of electric power to all electricity end-users;</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(c) </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Ascertain least-cost outcomes that are unlikely to be challenged in the future as the political and institutional scenarios should change; and</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(d)</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Protect the interest of the general public.</w:t>
            </w:r>
          </w:p>
        </w:tc>
      </w:tr>
    </w:tbl>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Section 3 of the same circular is not any clearer. It provides:</w:t>
      </w:r>
    </w:p>
    <w:p w:rsidR="005F5F47" w:rsidRPr="005F5F47" w:rsidRDefault="005F5F47" w:rsidP="005F5F47">
      <w:pPr>
        <w:spacing w:after="24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b/>
          <w:bCs/>
          <w:sz w:val="24"/>
          <w:szCs w:val="24"/>
          <w:lang w:eastAsia="en-SG"/>
        </w:rPr>
        <w:t>Section 3. Standard Features in the Conduct of CSP.</w:t>
      </w:r>
      <w:r w:rsidRPr="005F5F47">
        <w:rPr>
          <w:rFonts w:ascii="Times New Roman" w:eastAsia="Times New Roman" w:hAnsi="Times New Roman" w:cs="Times New Roman"/>
          <w:sz w:val="24"/>
          <w:szCs w:val="24"/>
          <w:lang w:eastAsia="en-SG"/>
        </w:rPr>
        <w:t xml:space="preserve"> After the effectivity of this Circular, all DUs shall procure PSAs only through CSP conducted through a Third Party duly recognized by the ERC and the DOE. In the case of ECs, the Third Party shall also be duly recognized by the National Electrification Administration (NEA).</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Under this Circular, CSPs for the procurement of PSAs of all DUs shall observe the following:</w:t>
      </w:r>
    </w:p>
    <w:tbl>
      <w:tblPr>
        <w:tblW w:w="5000" w:type="pct"/>
        <w:tblCellSpacing w:w="0" w:type="dxa"/>
        <w:tblCellMar>
          <w:left w:w="0" w:type="dxa"/>
          <w:right w:w="0" w:type="dxa"/>
        </w:tblCellMar>
        <w:tblLook w:val="04A0" w:firstRow="1" w:lastRow="0" w:firstColumn="1" w:lastColumn="0" w:noHBand="0" w:noVBand="1"/>
      </w:tblPr>
      <w:tblGrid>
        <w:gridCol w:w="451"/>
        <w:gridCol w:w="8575"/>
      </w:tblGrid>
      <w:tr w:rsidR="005F5F47" w:rsidRPr="005F5F47" w:rsidTr="005F5F47">
        <w:trPr>
          <w:tblCellSpacing w:w="0" w:type="dxa"/>
        </w:trPr>
        <w:tc>
          <w:tcPr>
            <w:tcW w:w="2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(a) </w:t>
            </w:r>
          </w:p>
        </w:tc>
        <w:tc>
          <w:tcPr>
            <w:tcW w:w="4750" w:type="pct"/>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Aggregation for un-contracted demand requirements of DUs;</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(b)</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Annually conducted; and</w:t>
            </w: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p>
        </w:tc>
      </w:tr>
      <w:tr w:rsidR="005F5F47" w:rsidRPr="005F5F47" w:rsidTr="005F5F47">
        <w:trPr>
          <w:tblCellSpacing w:w="0" w:type="dxa"/>
        </w:trPr>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(c)</w:t>
            </w:r>
          </w:p>
        </w:tc>
        <w:tc>
          <w:tcPr>
            <w:tcW w:w="0" w:type="auto"/>
            <w:hideMark/>
          </w:tcPr>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Uniform template for the terms and conditions in the PSA to be issued by the ERC in coordination with the DOE.</w:t>
            </w:r>
          </w:p>
        </w:tc>
      </w:tr>
    </w:tbl>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br/>
        <w:t xml:space="preserve">x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r w:rsidRPr="005F5F47">
        <w:rPr>
          <w:rFonts w:ascii="Times New Roman" w:eastAsia="Times New Roman" w:hAnsi="Times New Roman" w:cs="Times New Roman"/>
          <w:sz w:val="24"/>
          <w:szCs w:val="24"/>
          <w:lang w:eastAsia="en-SG"/>
        </w:rPr>
        <w:t xml:space="preserve"> </w:t>
      </w:r>
      <w:proofErr w:type="spellStart"/>
      <w:r w:rsidRPr="005F5F47">
        <w:rPr>
          <w:rFonts w:ascii="Times New Roman" w:eastAsia="Times New Roman" w:hAnsi="Times New Roman" w:cs="Times New Roman"/>
          <w:sz w:val="24"/>
          <w:szCs w:val="24"/>
          <w:lang w:eastAsia="en-SG"/>
        </w:rPr>
        <w:t>x</w:t>
      </w:r>
      <w:proofErr w:type="spellEnd"/>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xml:space="preserve">If the enforcement of the CSP began on June 30, 2015, as was posited in the </w:t>
      </w:r>
      <w:proofErr w:type="spellStart"/>
      <w:r w:rsidRPr="005F5F47">
        <w:rPr>
          <w:rFonts w:ascii="Times New Roman" w:eastAsia="Times New Roman" w:hAnsi="Times New Roman" w:cs="Times New Roman"/>
          <w:i/>
          <w:iCs/>
          <w:sz w:val="24"/>
          <w:szCs w:val="24"/>
          <w:lang w:eastAsia="en-SG"/>
        </w:rPr>
        <w:t>ponencia</w:t>
      </w:r>
      <w:proofErr w:type="spellEnd"/>
      <w:r w:rsidRPr="005F5F47">
        <w:rPr>
          <w:rFonts w:ascii="Times New Roman" w:eastAsia="Times New Roman" w:hAnsi="Times New Roman" w:cs="Times New Roman"/>
          <w:sz w:val="24"/>
          <w:szCs w:val="24"/>
          <w:lang w:eastAsia="en-SG"/>
        </w:rPr>
        <w:t xml:space="preserve">, how should the Third Party mentioned in the section conduct the CSP? What are the parameters? </w:t>
      </w:r>
      <w:r w:rsidRPr="005F5F47">
        <w:rPr>
          <w:rFonts w:ascii="Times New Roman" w:eastAsia="Times New Roman" w:hAnsi="Times New Roman" w:cs="Times New Roman"/>
          <w:sz w:val="24"/>
          <w:szCs w:val="24"/>
          <w:lang w:eastAsia="en-SG"/>
        </w:rPr>
        <w:lastRenderedPageBreak/>
        <w:t>What are the required documents/uniform templates to be submitted? What are the deadlines? More to the point, who are these Third Parties? How can they be recognized by the ERC and the DOE? By the National Electrification Administration?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This is why there was wisdom in the DOE's imposition of a period prior to the enforcement of the CSP. The reasons are obvious: (a) the agency tasked to draft the implementing rules and regulations must be accorded reasonable time within which to draft the same; and (b) the same agency must balance the implementation of the new policy over the already existing ones so as to ascertain continuous and unabated service to the public.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To this end, the action of the ERC in issuing ERC Resolution No. 1, rather than subvert the intentions of EPIRA, allowed the smooth transition of one procurement method to be utilized by the Government to another new method. Thus, the "restatement" of the effectivity of the CSP in ERC Resolution No. 1 is not an "amendment" but a carefully studied enforcement of the very same mandate reposed upon the ERC.</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Second, ERC did not "evade" its positive duty as provided for in the Constitution, the EPIRA, </w:t>
      </w:r>
      <w:proofErr w:type="gramStart"/>
      <w:r w:rsidRPr="005F5F47">
        <w:rPr>
          <w:rFonts w:ascii="Times New Roman" w:eastAsia="Times New Roman" w:hAnsi="Times New Roman" w:cs="Times New Roman"/>
          <w:sz w:val="24"/>
          <w:szCs w:val="24"/>
          <w:lang w:eastAsia="en-SG"/>
        </w:rPr>
        <w:t>DOE</w:t>
      </w:r>
      <w:proofErr w:type="gramEnd"/>
      <w:r w:rsidRPr="005F5F47">
        <w:rPr>
          <w:rFonts w:ascii="Times New Roman" w:eastAsia="Times New Roman" w:hAnsi="Times New Roman" w:cs="Times New Roman"/>
          <w:sz w:val="24"/>
          <w:szCs w:val="24"/>
          <w:lang w:eastAsia="en-SG"/>
        </w:rPr>
        <w:t xml:space="preserve"> Department Circular No. DC2015-06-0008, or ERC Resolution No. 13 as the petitioners would like the Court to believe. The petitioners stretch the interpretation of these laws and issuances by their insinuations that "restating" the effectivity of ERC Resolution No. 13 is already tantamount to evasion of duties.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 could not subscribe to this interpretation.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The petitioners did not convincingly show any action by the ERC that negated any provision of the Constitution, the EPIRA, or any of the resolutions mentioned. No action has been indicated to have disregarded CSP procedure. In fact, ERC Resolution No. 13, the very resolution that the petitioners assert to have been violated, has been in effect since April, 2016. As discussed earlier, the issuance of ERC Resolution No. 1 is a by-product of the concerns of the DUs, generation companies, and electric cooperatives. </w:t>
      </w:r>
      <w:r w:rsidRPr="005F5F47">
        <w:rPr>
          <w:rFonts w:ascii="Times New Roman" w:eastAsia="Times New Roman" w:hAnsi="Times New Roman" w:cs="Times New Roman"/>
          <w:b/>
          <w:bCs/>
          <w:sz w:val="24"/>
          <w:szCs w:val="24"/>
          <w:u w:val="single"/>
          <w:lang w:eastAsia="en-SG"/>
        </w:rPr>
        <w:t>The Court could not dictate upon the ERC the time upon which the effectivity of ERC Resolution No. 13 should begin. This is a policy decision that rests solely on the ERC.</w:t>
      </w:r>
      <w:r w:rsidRPr="005F5F47">
        <w:rPr>
          <w:rFonts w:ascii="Times New Roman" w:eastAsia="Times New Roman" w:hAnsi="Times New Roman" w:cs="Times New Roman"/>
          <w:sz w:val="24"/>
          <w:szCs w:val="24"/>
          <w:lang w:eastAsia="en-SG"/>
        </w:rPr>
        <w:t xml:space="preserve"> This being the case, I find no illicit connection—as the petitioners have proved no illicit connections—between ERC Resolution No. 1 and the submission by the respondents of their PSAs prior to the given deadline.</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If anything, what the petitioners ask of the Court is for the latter to substitute its own wisdom to that of ERC's actions as the main administrative agency clothed with expertise to decide on the effectivity of its own rules. This, the Court could not do. As has been repeatedly mentioned herein, ERC's action on merely "restating" the date of effectivity of ERC Resolution No. 13—its own resolution that has been in effect since April, 2016—has not been shown to have been promulgated with grave abuse of discretion amounting to lack or excess of jurisdiction.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 xml:space="preserve">Third, it must also be emphasized that ERC Resolution No. 1 enjoys a strong presumption of its validity. In </w:t>
      </w:r>
      <w:r w:rsidRPr="005F5F47">
        <w:rPr>
          <w:rFonts w:ascii="Times New Roman" w:eastAsia="Times New Roman" w:hAnsi="Times New Roman" w:cs="Times New Roman"/>
          <w:i/>
          <w:iCs/>
          <w:sz w:val="24"/>
          <w:szCs w:val="24"/>
          <w:lang w:eastAsia="en-SG"/>
        </w:rPr>
        <w:t xml:space="preserve">Spouses </w:t>
      </w:r>
      <w:proofErr w:type="spellStart"/>
      <w:r w:rsidRPr="005F5F47">
        <w:rPr>
          <w:rFonts w:ascii="Times New Roman" w:eastAsia="Times New Roman" w:hAnsi="Times New Roman" w:cs="Times New Roman"/>
          <w:i/>
          <w:iCs/>
          <w:sz w:val="24"/>
          <w:szCs w:val="24"/>
          <w:lang w:eastAsia="en-SG"/>
        </w:rPr>
        <w:t>Dacudao</w:t>
      </w:r>
      <w:proofErr w:type="spellEnd"/>
      <w:r w:rsidRPr="005F5F47">
        <w:rPr>
          <w:rFonts w:ascii="Times New Roman" w:eastAsia="Times New Roman" w:hAnsi="Times New Roman" w:cs="Times New Roman"/>
          <w:i/>
          <w:iCs/>
          <w:sz w:val="24"/>
          <w:szCs w:val="24"/>
          <w:lang w:eastAsia="en-SG"/>
        </w:rPr>
        <w:t xml:space="preserve"> v. Secretary Gonzales</w:t>
      </w:r>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[30]</w:t>
      </w:r>
      <w:r w:rsidRPr="005F5F47">
        <w:rPr>
          <w:rFonts w:ascii="Times New Roman" w:eastAsia="Times New Roman" w:hAnsi="Times New Roman" w:cs="Times New Roman"/>
          <w:sz w:val="24"/>
          <w:szCs w:val="24"/>
          <w:lang w:eastAsia="en-SG"/>
        </w:rPr>
        <w:t xml:space="preserve"> Chief Justice Lucas P. </w:t>
      </w:r>
      <w:proofErr w:type="spellStart"/>
      <w:r w:rsidRPr="005F5F47">
        <w:rPr>
          <w:rFonts w:ascii="Times New Roman" w:eastAsia="Times New Roman" w:hAnsi="Times New Roman" w:cs="Times New Roman"/>
          <w:sz w:val="24"/>
          <w:szCs w:val="24"/>
          <w:lang w:eastAsia="en-SG"/>
        </w:rPr>
        <w:t>Bersamin</w:t>
      </w:r>
      <w:proofErr w:type="spellEnd"/>
      <w:r w:rsidRPr="005F5F47">
        <w:rPr>
          <w:rFonts w:ascii="Times New Roman" w:eastAsia="Times New Roman" w:hAnsi="Times New Roman" w:cs="Times New Roman"/>
          <w:sz w:val="24"/>
          <w:szCs w:val="24"/>
          <w:lang w:eastAsia="en-SG"/>
        </w:rPr>
        <w:t xml:space="preserve"> reiterated the Court's ruling in </w:t>
      </w:r>
      <w:r w:rsidRPr="005F5F47">
        <w:rPr>
          <w:rFonts w:ascii="Times New Roman" w:eastAsia="Times New Roman" w:hAnsi="Times New Roman" w:cs="Times New Roman"/>
          <w:i/>
          <w:iCs/>
          <w:sz w:val="24"/>
          <w:szCs w:val="24"/>
          <w:lang w:eastAsia="en-SG"/>
        </w:rPr>
        <w:t xml:space="preserve">ABAKADA </w:t>
      </w:r>
      <w:proofErr w:type="spellStart"/>
      <w:r w:rsidRPr="005F5F47">
        <w:rPr>
          <w:rFonts w:ascii="Times New Roman" w:eastAsia="Times New Roman" w:hAnsi="Times New Roman" w:cs="Times New Roman"/>
          <w:i/>
          <w:iCs/>
          <w:sz w:val="24"/>
          <w:szCs w:val="24"/>
          <w:lang w:eastAsia="en-SG"/>
        </w:rPr>
        <w:t>Guro</w:t>
      </w:r>
      <w:proofErr w:type="spellEnd"/>
      <w:r w:rsidRPr="005F5F47">
        <w:rPr>
          <w:rFonts w:ascii="Times New Roman" w:eastAsia="Times New Roman" w:hAnsi="Times New Roman" w:cs="Times New Roman"/>
          <w:i/>
          <w:iCs/>
          <w:sz w:val="24"/>
          <w:szCs w:val="24"/>
          <w:lang w:eastAsia="en-SG"/>
        </w:rPr>
        <w:t xml:space="preserve"> Party List (formerly AASJS), et al. v. Hon. Purisima, et al.</w:t>
      </w:r>
      <w:r w:rsidRPr="005F5F47">
        <w:rPr>
          <w:rFonts w:ascii="Times New Roman" w:eastAsia="Times New Roman" w:hAnsi="Times New Roman" w:cs="Times New Roman"/>
          <w:color w:val="FF0000"/>
          <w:sz w:val="24"/>
          <w:szCs w:val="24"/>
          <w:vertAlign w:val="superscript"/>
          <w:lang w:eastAsia="en-SG"/>
        </w:rPr>
        <w:t>[31]</w:t>
      </w:r>
      <w:r w:rsidRPr="005F5F47">
        <w:rPr>
          <w:rFonts w:ascii="Times New Roman" w:eastAsia="Times New Roman" w:hAnsi="Times New Roman" w:cs="Times New Roman"/>
          <w:sz w:val="24"/>
          <w:szCs w:val="24"/>
          <w:lang w:eastAsia="en-SG"/>
        </w:rPr>
        <w:t xml:space="preserve"> where the Court extended the presumption of validity to legislative issuances as well as to rules and regulations issued by administrative agencies. </w:t>
      </w:r>
      <w:r w:rsidRPr="005F5F47">
        <w:rPr>
          <w:rFonts w:ascii="Times New Roman" w:eastAsia="Times New Roman" w:hAnsi="Times New Roman" w:cs="Times New Roman"/>
          <w:i/>
          <w:iCs/>
          <w:sz w:val="24"/>
          <w:szCs w:val="24"/>
          <w:lang w:eastAsia="en-SG"/>
        </w:rPr>
        <w:t xml:space="preserve">ABAKADA </w:t>
      </w:r>
      <w:proofErr w:type="spellStart"/>
      <w:r w:rsidRPr="005F5F47">
        <w:rPr>
          <w:rFonts w:ascii="Times New Roman" w:eastAsia="Times New Roman" w:hAnsi="Times New Roman" w:cs="Times New Roman"/>
          <w:i/>
          <w:iCs/>
          <w:sz w:val="24"/>
          <w:szCs w:val="24"/>
          <w:lang w:eastAsia="en-SG"/>
        </w:rPr>
        <w:t>Guro</w:t>
      </w:r>
      <w:proofErr w:type="spellEnd"/>
      <w:r w:rsidRPr="005F5F47">
        <w:rPr>
          <w:rFonts w:ascii="Times New Roman" w:eastAsia="Times New Roman" w:hAnsi="Times New Roman" w:cs="Times New Roman"/>
          <w:i/>
          <w:iCs/>
          <w:sz w:val="24"/>
          <w:szCs w:val="24"/>
          <w:lang w:eastAsia="en-SG"/>
        </w:rPr>
        <w:t xml:space="preserve"> Party List</w:t>
      </w:r>
      <w:r w:rsidRPr="005F5F47">
        <w:rPr>
          <w:rFonts w:ascii="Times New Roman" w:eastAsia="Times New Roman" w:hAnsi="Times New Roman" w:cs="Times New Roman"/>
          <w:sz w:val="24"/>
          <w:szCs w:val="24"/>
          <w:lang w:eastAsia="en-SG"/>
        </w:rPr>
        <w:t xml:space="preserve"> said:</w:t>
      </w:r>
    </w:p>
    <w:p w:rsidR="005F5F47" w:rsidRPr="005F5F47" w:rsidRDefault="005F5F47" w:rsidP="005F5F47">
      <w:pPr>
        <w:spacing w:after="10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lastRenderedPageBreak/>
        <w:t xml:space="preserve">Administrative regulations enacted by administrative agencies to implement and interpret the law which they are entrusted to enforce have the force of law and are entitled to respect, </w:t>
      </w:r>
      <w:proofErr w:type="gramStart"/>
      <w:r w:rsidRPr="005F5F47">
        <w:rPr>
          <w:rFonts w:ascii="Times New Roman" w:eastAsia="Times New Roman" w:hAnsi="Times New Roman" w:cs="Times New Roman"/>
          <w:sz w:val="24"/>
          <w:szCs w:val="24"/>
          <w:lang w:eastAsia="en-SG"/>
        </w:rPr>
        <w:t>Such</w:t>
      </w:r>
      <w:proofErr w:type="gramEnd"/>
      <w:r w:rsidRPr="005F5F47">
        <w:rPr>
          <w:rFonts w:ascii="Times New Roman" w:eastAsia="Times New Roman" w:hAnsi="Times New Roman" w:cs="Times New Roman"/>
          <w:sz w:val="24"/>
          <w:szCs w:val="24"/>
          <w:lang w:eastAsia="en-SG"/>
        </w:rPr>
        <w:t xml:space="preserve"> rules and regulations partake of the nature of a statute and are just as binding as if they have been written in the statute itself. As such, they have the force and effect of law and enjoy the presumption of constitutionality and legality until they are set aside with finality in an appropriate case by a competent </w:t>
      </w:r>
      <w:proofErr w:type="gramStart"/>
      <w:r w:rsidRPr="005F5F47">
        <w:rPr>
          <w:rFonts w:ascii="Times New Roman" w:eastAsia="Times New Roman" w:hAnsi="Times New Roman" w:cs="Times New Roman"/>
          <w:sz w:val="24"/>
          <w:szCs w:val="24"/>
          <w:lang w:eastAsia="en-SG"/>
        </w:rPr>
        <w:t>court</w:t>
      </w:r>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color w:val="FF0000"/>
          <w:sz w:val="24"/>
          <w:szCs w:val="24"/>
          <w:vertAlign w:val="superscript"/>
          <w:lang w:eastAsia="en-SG"/>
        </w:rPr>
        <w:t>32]</w:t>
      </w:r>
      <w:r w:rsidRPr="005F5F47">
        <w:rPr>
          <w:rFonts w:ascii="Times New Roman" w:eastAsia="Times New Roman" w:hAnsi="Times New Roman" w:cs="Times New Roman"/>
          <w:sz w:val="24"/>
          <w:szCs w:val="24"/>
          <w:lang w:eastAsia="en-SG"/>
        </w:rPr>
        <w:t>.</w:t>
      </w:r>
    </w:p>
    <w:p w:rsidR="005F5F47" w:rsidRPr="005F5F47" w:rsidRDefault="005F5F47" w:rsidP="005F5F47">
      <w:pPr>
        <w:spacing w:after="24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Moreover, the ERC, being envisioned to be "a strong and purely independent regulatory body,"</w:t>
      </w:r>
      <w:r w:rsidRPr="005F5F47">
        <w:rPr>
          <w:rFonts w:ascii="Times New Roman" w:eastAsia="Times New Roman" w:hAnsi="Times New Roman" w:cs="Times New Roman"/>
          <w:color w:val="FF0000"/>
          <w:sz w:val="24"/>
          <w:szCs w:val="24"/>
          <w:vertAlign w:val="superscript"/>
          <w:lang w:eastAsia="en-SG"/>
        </w:rPr>
        <w:t>[33]</w:t>
      </w:r>
      <w:r w:rsidRPr="005F5F47">
        <w:rPr>
          <w:rFonts w:ascii="Times New Roman" w:eastAsia="Times New Roman" w:hAnsi="Times New Roman" w:cs="Times New Roman"/>
          <w:sz w:val="24"/>
          <w:szCs w:val="24"/>
          <w:lang w:eastAsia="en-SG"/>
        </w:rPr>
        <w:t xml:space="preserve"> is "vested with broad regulatory and monitoring functions over the Philippine electric industry to ensure its successful restructuring and modernization."</w:t>
      </w:r>
      <w:r w:rsidRPr="005F5F47">
        <w:rPr>
          <w:rFonts w:ascii="Times New Roman" w:eastAsia="Times New Roman" w:hAnsi="Times New Roman" w:cs="Times New Roman"/>
          <w:color w:val="FF0000"/>
          <w:sz w:val="24"/>
          <w:szCs w:val="24"/>
          <w:vertAlign w:val="superscript"/>
          <w:lang w:eastAsia="en-SG"/>
        </w:rPr>
        <w:t>[34]</w:t>
      </w:r>
      <w:r w:rsidRPr="005F5F47">
        <w:rPr>
          <w:rFonts w:ascii="Times New Roman" w:eastAsia="Times New Roman" w:hAnsi="Times New Roman" w:cs="Times New Roman"/>
          <w:sz w:val="24"/>
          <w:szCs w:val="24"/>
          <w:lang w:eastAsia="en-SG"/>
        </w:rPr>
        <w:t xml:space="preserve"> The burden of proving that the presumption of validity should be disregarded rests solely on the petitioners. For the reasons already mentioned above, I believe that the petitioners failed on this purpose. Thus, as the ERC has been "provided by the law with tools, ample wherewithal, and considerable latitude in adopting means that will ensure the accomplishment of the great objectives for which it was created [its actions should similarly be] accorded by the Court the greatest measure of presumption of regularity in its course of action and choice of means in performing its </w:t>
      </w:r>
      <w:proofErr w:type="gramStart"/>
      <w:r w:rsidRPr="005F5F47">
        <w:rPr>
          <w:rFonts w:ascii="Times New Roman" w:eastAsia="Times New Roman" w:hAnsi="Times New Roman" w:cs="Times New Roman"/>
          <w:sz w:val="24"/>
          <w:szCs w:val="24"/>
          <w:lang w:eastAsia="en-SG"/>
        </w:rPr>
        <w:t>duties[</w:t>
      </w:r>
      <w:proofErr w:type="gramEnd"/>
      <w:r w:rsidRPr="005F5F47">
        <w:rPr>
          <w:rFonts w:ascii="Times New Roman" w:eastAsia="Times New Roman" w:hAnsi="Times New Roman" w:cs="Times New Roman"/>
          <w:sz w:val="24"/>
          <w:szCs w:val="24"/>
          <w:lang w:eastAsia="en-SG"/>
        </w:rPr>
        <w:t>.]"</w:t>
      </w:r>
      <w:r w:rsidRPr="005F5F47">
        <w:rPr>
          <w:rFonts w:ascii="Times New Roman" w:eastAsia="Times New Roman" w:hAnsi="Times New Roman" w:cs="Times New Roman"/>
          <w:color w:val="FF0000"/>
          <w:sz w:val="24"/>
          <w:szCs w:val="24"/>
          <w:vertAlign w:val="superscript"/>
          <w:lang w:eastAsia="en-SG"/>
        </w:rPr>
        <w:t>[35</w:t>
      </w:r>
      <w:proofErr w:type="gramStart"/>
      <w:r w:rsidRPr="005F5F47">
        <w:rPr>
          <w:rFonts w:ascii="Times New Roman" w:eastAsia="Times New Roman" w:hAnsi="Times New Roman" w:cs="Times New Roman"/>
          <w:color w:val="FF0000"/>
          <w:sz w:val="24"/>
          <w:szCs w:val="24"/>
          <w:vertAlign w:val="superscript"/>
          <w:lang w:eastAsia="en-SG"/>
        </w:rPr>
        <w:t>]</w:t>
      </w:r>
      <w:proofErr w:type="gramEnd"/>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Finally, anent the petitioners' prayer to require the ERC to disapprove the PSAs already submitted before it for the private respondents' failure to conduct CSP or for the possibility of "freezing" the CSP procedure for 20 years, I believe that the Court must once again rule against the petitioners and for the respondents.</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t>In truth, the approval or disapproval of the PSAs have heretofore been pending before the ERC.</w:t>
      </w:r>
      <w:r w:rsidRPr="005F5F47">
        <w:rPr>
          <w:rFonts w:ascii="Times New Roman" w:eastAsia="Times New Roman" w:hAnsi="Times New Roman" w:cs="Times New Roman"/>
          <w:color w:val="FF0000"/>
          <w:sz w:val="24"/>
          <w:szCs w:val="24"/>
          <w:vertAlign w:val="superscript"/>
          <w:lang w:eastAsia="en-SG"/>
        </w:rPr>
        <w:t>[36]</w:t>
      </w:r>
      <w:r w:rsidRPr="005F5F47">
        <w:rPr>
          <w:rFonts w:ascii="Times New Roman" w:eastAsia="Times New Roman" w:hAnsi="Times New Roman" w:cs="Times New Roman"/>
          <w:sz w:val="24"/>
          <w:szCs w:val="24"/>
          <w:lang w:eastAsia="en-SG"/>
        </w:rPr>
        <w:t xml:space="preserve"> Considering that the ERC is not guilty of any grave abuse of discretion amounting to lack or excess of jurisdiction in issuing ERC Resolution No. 1, the Court should not substitute its judgment on PSA applications which are not yet acted upon. It is worth stressing that the Court could only discharge such actions if, in approving or disapproving the PSA applications, the ERC acted (1) without or in excess of jurisdiction, or (2) with grave abuse of discretion amounting to lack or excess of jurisdiction. For the moment, such action of the ERC, if ever it would act in that manner, is still in the realm of conjecture and deserves scant consideration.</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b/>
          <w:bCs/>
          <w:sz w:val="24"/>
          <w:szCs w:val="24"/>
          <w:lang w:eastAsia="en-SG"/>
        </w:rPr>
        <w:t>ACCORDINGLY</w:t>
      </w:r>
      <w:r w:rsidRPr="005F5F47">
        <w:rPr>
          <w:rFonts w:ascii="Times New Roman" w:eastAsia="Times New Roman" w:hAnsi="Times New Roman" w:cs="Times New Roman"/>
          <w:sz w:val="24"/>
          <w:szCs w:val="24"/>
          <w:lang w:eastAsia="en-SG"/>
        </w:rPr>
        <w:t xml:space="preserve">, I vote to </w:t>
      </w:r>
      <w:r w:rsidRPr="005F5F47">
        <w:rPr>
          <w:rFonts w:ascii="Times New Roman" w:eastAsia="Times New Roman" w:hAnsi="Times New Roman" w:cs="Times New Roman"/>
          <w:b/>
          <w:bCs/>
          <w:sz w:val="24"/>
          <w:szCs w:val="24"/>
          <w:lang w:eastAsia="en-SG"/>
        </w:rPr>
        <w:t>DISMISS</w:t>
      </w:r>
      <w:r w:rsidRPr="005F5F47">
        <w:rPr>
          <w:rFonts w:ascii="Times New Roman" w:eastAsia="Times New Roman" w:hAnsi="Times New Roman" w:cs="Times New Roman"/>
          <w:sz w:val="24"/>
          <w:szCs w:val="24"/>
          <w:lang w:eastAsia="en-SG"/>
        </w:rPr>
        <w:t xml:space="preserve"> the petition for </w:t>
      </w:r>
      <w:r w:rsidRPr="005F5F47">
        <w:rPr>
          <w:rFonts w:ascii="Times New Roman" w:eastAsia="Times New Roman" w:hAnsi="Times New Roman" w:cs="Times New Roman"/>
          <w:i/>
          <w:iCs/>
          <w:sz w:val="24"/>
          <w:szCs w:val="24"/>
          <w:lang w:eastAsia="en-SG"/>
        </w:rPr>
        <w:t>certiorari</w:t>
      </w:r>
      <w:r w:rsidRPr="005F5F47">
        <w:rPr>
          <w:rFonts w:ascii="Times New Roman" w:eastAsia="Times New Roman" w:hAnsi="Times New Roman" w:cs="Times New Roman"/>
          <w:sz w:val="24"/>
          <w:szCs w:val="24"/>
          <w:lang w:eastAsia="en-SG"/>
        </w:rPr>
        <w:t xml:space="preserve"> and prohibition.</w: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pict>
          <v:rect id="_x0000_i1042" style="width:270.8pt;height:.75pt" o:hrpct="600" o:hrstd="t" o:hrnoshade="t" o:hr="t" fillcolor="#a0a0a0" stroked="f"/>
        </w:pict>
      </w:r>
    </w:p>
    <w:p w:rsidR="005F5F47" w:rsidRPr="005F5F47" w:rsidRDefault="005F5F47" w:rsidP="005F5F47">
      <w:pPr>
        <w:spacing w:after="0" w:line="240" w:lineRule="auto"/>
        <w:rPr>
          <w:rFonts w:ascii="Times New Roman" w:eastAsia="Times New Roman" w:hAnsi="Times New Roman" w:cs="Times New Roman"/>
          <w:sz w:val="24"/>
          <w:szCs w:val="24"/>
          <w:lang w:eastAsia="en-SG"/>
        </w:rPr>
      </w:pPr>
      <w:r w:rsidRPr="005F5F47">
        <w:rPr>
          <w:rFonts w:ascii="Times New Roman" w:eastAsia="Times New Roman" w:hAnsi="Times New Roman" w:cs="Times New Roman"/>
          <w:color w:val="FF0000"/>
          <w:sz w:val="24"/>
          <w:szCs w:val="24"/>
          <w:vertAlign w:val="superscript"/>
          <w:lang w:eastAsia="en-SG"/>
        </w:rPr>
        <w:t>[1]</w:t>
      </w:r>
      <w:r w:rsidRPr="005F5F47">
        <w:rPr>
          <w:rFonts w:ascii="Times New Roman" w:eastAsia="Times New Roman" w:hAnsi="Times New Roman" w:cs="Times New Roman"/>
          <w:sz w:val="24"/>
          <w:szCs w:val="24"/>
          <w:lang w:eastAsia="en-SG"/>
        </w:rPr>
        <w:t xml:space="preserve"> Rules of Court (1997), Rule 65, Sec. 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w:t>
      </w:r>
      <w:r w:rsidRPr="005F5F47">
        <w:rPr>
          <w:rFonts w:ascii="Times New Roman" w:eastAsia="Times New Roman" w:hAnsi="Times New Roman" w:cs="Times New Roman"/>
          <w:sz w:val="24"/>
          <w:szCs w:val="24"/>
          <w:lang w:eastAsia="en-SG"/>
        </w:rPr>
        <w:t xml:space="preserve"> Rules of Court (1997), Rule 65, Sec. 2.</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[4]</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Umali v. JBC</w:t>
      </w:r>
      <w:r w:rsidRPr="005F5F47">
        <w:rPr>
          <w:rFonts w:ascii="Times New Roman" w:eastAsia="Times New Roman" w:hAnsi="Times New Roman" w:cs="Times New Roman"/>
          <w:sz w:val="24"/>
          <w:szCs w:val="24"/>
          <w:lang w:eastAsia="en-SG"/>
        </w:rPr>
        <w:t>, G.R. No. 228628, July 25, 2017, 832 SCRA 194, 223-224.</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[5]</w:t>
      </w:r>
      <w:r w:rsidRPr="005F5F47">
        <w:rPr>
          <w:rFonts w:ascii="Times New Roman" w:eastAsia="Times New Roman" w:hAnsi="Times New Roman" w:cs="Times New Roman"/>
          <w:sz w:val="24"/>
          <w:szCs w:val="24"/>
          <w:lang w:eastAsia="en-SG"/>
        </w:rPr>
        <w:t xml:space="preserve"> R. A. No. 9136 (2001), Sec. 38.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[6]</w:t>
      </w:r>
      <w:r w:rsidRPr="005F5F47">
        <w:rPr>
          <w:rFonts w:ascii="Times New Roman" w:eastAsia="Times New Roman" w:hAnsi="Times New Roman" w:cs="Times New Roman"/>
          <w:sz w:val="24"/>
          <w:szCs w:val="24"/>
          <w:lang w:eastAsia="en-SG"/>
        </w:rPr>
        <w:t xml:space="preserve"> R. A. No. 9136 (2001), Sec. 43.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[7]</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[8]</w:t>
      </w:r>
      <w:r w:rsidRPr="005F5F47">
        <w:rPr>
          <w:rFonts w:ascii="Times New Roman" w:eastAsia="Times New Roman" w:hAnsi="Times New Roman" w:cs="Times New Roman"/>
          <w:sz w:val="24"/>
          <w:szCs w:val="24"/>
          <w:lang w:eastAsia="en-SG"/>
        </w:rPr>
        <w:t xml:space="preserve"> G.R. Nos. 217872 &amp; 221866, April 26, 2017, 825 SCRA 191.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lastRenderedPageBreak/>
        <w:br/>
      </w:r>
      <w:r w:rsidRPr="005F5F47">
        <w:rPr>
          <w:rFonts w:ascii="Times New Roman" w:eastAsia="Times New Roman" w:hAnsi="Times New Roman" w:cs="Times New Roman"/>
          <w:color w:val="FF0000"/>
          <w:sz w:val="24"/>
          <w:szCs w:val="24"/>
          <w:vertAlign w:val="superscript"/>
          <w:lang w:eastAsia="en-SG"/>
        </w:rPr>
        <w:t>[9]</w:t>
      </w:r>
      <w:r w:rsidRPr="005F5F47">
        <w:rPr>
          <w:rFonts w:ascii="Times New Roman" w:eastAsia="Times New Roman" w:hAnsi="Times New Roman" w:cs="Times New Roman"/>
          <w:sz w:val="24"/>
          <w:szCs w:val="24"/>
          <w:lang w:eastAsia="en-SG"/>
        </w:rPr>
        <w:t xml:space="preserve"> Id. at 209.</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[10]</w:t>
      </w:r>
      <w:r w:rsidRPr="005F5F47">
        <w:rPr>
          <w:rFonts w:ascii="Times New Roman" w:eastAsia="Times New Roman" w:hAnsi="Times New Roman" w:cs="Times New Roman"/>
          <w:sz w:val="24"/>
          <w:szCs w:val="24"/>
          <w:lang w:eastAsia="en-SG"/>
        </w:rPr>
        <w:t xml:space="preserve"> Id. at 209-210.</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[11]</w:t>
      </w:r>
      <w:r w:rsidRPr="005F5F47">
        <w:rPr>
          <w:rFonts w:ascii="Times New Roman" w:eastAsia="Times New Roman" w:hAnsi="Times New Roman" w:cs="Times New Roman"/>
          <w:sz w:val="24"/>
          <w:szCs w:val="24"/>
          <w:lang w:eastAsia="en-SG"/>
        </w:rPr>
        <w:t xml:space="preserve"> R. A. No. 9136 (2001).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[12]</w:t>
      </w:r>
      <w:r w:rsidRPr="005F5F47">
        <w:rPr>
          <w:rFonts w:ascii="Times New Roman" w:eastAsia="Times New Roman" w:hAnsi="Times New Roman" w:cs="Times New Roman"/>
          <w:sz w:val="24"/>
          <w:szCs w:val="24"/>
          <w:lang w:eastAsia="en-SG"/>
        </w:rPr>
        <w:t xml:space="preserve"> Rules and Regulations to Implement Republic Act No. 9136, Entitled "Electric Power Industry Reform Act of 2001" (2001), Sec. 4 (b).</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[13]</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Rollo</w:t>
      </w:r>
      <w:r w:rsidRPr="005F5F47">
        <w:rPr>
          <w:rFonts w:ascii="Times New Roman" w:eastAsia="Times New Roman" w:hAnsi="Times New Roman" w:cs="Times New Roman"/>
          <w:sz w:val="24"/>
          <w:szCs w:val="24"/>
          <w:lang w:eastAsia="en-SG"/>
        </w:rPr>
        <w:t>, Vol. 1, pp. 40-43.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[14]</w:t>
      </w:r>
      <w:r w:rsidRPr="005F5F47">
        <w:rPr>
          <w:rFonts w:ascii="Times New Roman" w:eastAsia="Times New Roman" w:hAnsi="Times New Roman" w:cs="Times New Roman"/>
          <w:sz w:val="24"/>
          <w:szCs w:val="24"/>
          <w:lang w:eastAsia="en-SG"/>
        </w:rPr>
        <w:t xml:space="preserve"> Department of Energy and Energy Regulatory Commission, October 20, 2015.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[15]</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[16]</w:t>
      </w:r>
      <w:r w:rsidRPr="005F5F47">
        <w:rPr>
          <w:rFonts w:ascii="Times New Roman" w:eastAsia="Times New Roman" w:hAnsi="Times New Roman" w:cs="Times New Roman"/>
          <w:sz w:val="24"/>
          <w:szCs w:val="24"/>
          <w:lang w:eastAsia="en-SG"/>
        </w:rPr>
        <w:t xml:space="preserve"> AIE's Manifestation and Motion for Early Resolution dated November 16, 2018, Annex 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[17]</w:t>
      </w:r>
      <w:r w:rsidRPr="005F5F47">
        <w:rPr>
          <w:rFonts w:ascii="Times New Roman" w:eastAsia="Times New Roman" w:hAnsi="Times New Roman" w:cs="Times New Roman"/>
          <w:sz w:val="24"/>
          <w:szCs w:val="24"/>
          <w:lang w:eastAsia="en-SG"/>
        </w:rPr>
        <w:t xml:space="preserve"> Exec. Order No. 292 (1987), Sec. 2(11).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[18]</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Fajardo v. Hon. Court of Appeals, et al.</w:t>
      </w:r>
      <w:r w:rsidRPr="005F5F47">
        <w:rPr>
          <w:rFonts w:ascii="Times New Roman" w:eastAsia="Times New Roman" w:hAnsi="Times New Roman" w:cs="Times New Roman"/>
          <w:sz w:val="24"/>
          <w:szCs w:val="24"/>
          <w:lang w:eastAsia="en-SG"/>
        </w:rPr>
        <w:t>, 591 Phil. 146, 153 (2008).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[19]</w:t>
      </w:r>
      <w:r w:rsidRPr="005F5F47">
        <w:rPr>
          <w:rFonts w:ascii="Times New Roman" w:eastAsia="Times New Roman" w:hAnsi="Times New Roman" w:cs="Times New Roman"/>
          <w:sz w:val="24"/>
          <w:szCs w:val="24"/>
          <w:lang w:eastAsia="en-SG"/>
        </w:rPr>
        <w:t xml:space="preserve"> G.R. No. 195248, November 22, 2017, 846 SCRA 74.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[20]</w:t>
      </w:r>
      <w:r w:rsidRPr="005F5F47">
        <w:rPr>
          <w:rFonts w:ascii="Times New Roman" w:eastAsia="Times New Roman" w:hAnsi="Times New Roman" w:cs="Times New Roman"/>
          <w:sz w:val="24"/>
          <w:szCs w:val="24"/>
          <w:lang w:eastAsia="en-SG"/>
        </w:rPr>
        <w:t xml:space="preserve"> 667 Phil. 474 (2011).</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[21]</w:t>
      </w:r>
      <w:r w:rsidRPr="005F5F47">
        <w:rPr>
          <w:rFonts w:ascii="Times New Roman" w:eastAsia="Times New Roman" w:hAnsi="Times New Roman" w:cs="Times New Roman"/>
          <w:sz w:val="24"/>
          <w:szCs w:val="24"/>
          <w:lang w:eastAsia="en-SG"/>
        </w:rPr>
        <w:t xml:space="preserve"> Id. at 481-482.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[22]</w:t>
      </w:r>
      <w:r w:rsidRPr="005F5F47">
        <w:rPr>
          <w:rFonts w:ascii="Times New Roman" w:eastAsia="Times New Roman" w:hAnsi="Times New Roman" w:cs="Times New Roman"/>
          <w:sz w:val="24"/>
          <w:szCs w:val="24"/>
          <w:lang w:eastAsia="en-SG"/>
        </w:rPr>
        <w:t xml:space="preserve"> Supra note 18, at 153.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[23]</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Rollo</w:t>
      </w:r>
      <w:r w:rsidRPr="005F5F47">
        <w:rPr>
          <w:rFonts w:ascii="Times New Roman" w:eastAsia="Times New Roman" w:hAnsi="Times New Roman" w:cs="Times New Roman"/>
          <w:sz w:val="24"/>
          <w:szCs w:val="24"/>
          <w:lang w:eastAsia="en-SG"/>
        </w:rPr>
        <w:t>, Vol. II, pp. 1201-1206.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[24]</w:t>
      </w:r>
      <w:r w:rsidRPr="005F5F47">
        <w:rPr>
          <w:rFonts w:ascii="Times New Roman" w:eastAsia="Times New Roman" w:hAnsi="Times New Roman" w:cs="Times New Roman"/>
          <w:sz w:val="24"/>
          <w:szCs w:val="24"/>
          <w:lang w:eastAsia="en-SG"/>
        </w:rPr>
        <w:t xml:space="preserve"> Id. at 1202.</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[25]</w:t>
      </w:r>
      <w:r w:rsidRPr="005F5F47">
        <w:rPr>
          <w:rFonts w:ascii="Times New Roman" w:eastAsia="Times New Roman" w:hAnsi="Times New Roman" w:cs="Times New Roman"/>
          <w:sz w:val="24"/>
          <w:szCs w:val="24"/>
          <w:lang w:eastAsia="en-SG"/>
        </w:rPr>
        <w:t xml:space="preserve"> Id.</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[26]</w:t>
      </w:r>
      <w:r w:rsidRPr="005F5F47">
        <w:rPr>
          <w:rFonts w:ascii="Times New Roman" w:eastAsia="Times New Roman" w:hAnsi="Times New Roman" w:cs="Times New Roman"/>
          <w:sz w:val="24"/>
          <w:szCs w:val="24"/>
          <w:lang w:eastAsia="en-SG"/>
        </w:rPr>
        <w:t xml:space="preserve"> Id. at 1203.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[27]</w:t>
      </w:r>
      <w:r w:rsidRPr="005F5F47">
        <w:rPr>
          <w:rFonts w:ascii="Times New Roman" w:eastAsia="Times New Roman" w:hAnsi="Times New Roman" w:cs="Times New Roman"/>
          <w:sz w:val="24"/>
          <w:szCs w:val="24"/>
          <w:lang w:eastAsia="en-SG"/>
        </w:rPr>
        <w:t xml:space="preserve"> Id. at 1204, 1206.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[28]</w:t>
      </w:r>
      <w:r w:rsidRPr="005F5F47">
        <w:rPr>
          <w:rFonts w:ascii="Times New Roman" w:eastAsia="Times New Roman" w:hAnsi="Times New Roman" w:cs="Times New Roman"/>
          <w:sz w:val="24"/>
          <w:szCs w:val="24"/>
          <w:lang w:eastAsia="en-SG"/>
        </w:rPr>
        <w:t xml:space="preserve"> Id. at 1205.</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[29]</w:t>
      </w:r>
      <w:r w:rsidRPr="005F5F47">
        <w:rPr>
          <w:rFonts w:ascii="Times New Roman" w:eastAsia="Times New Roman" w:hAnsi="Times New Roman" w:cs="Times New Roman"/>
          <w:sz w:val="24"/>
          <w:szCs w:val="24"/>
          <w:lang w:eastAsia="en-SG"/>
        </w:rPr>
        <w:t xml:space="preserve"> Id. at 1206.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[30]</w:t>
      </w:r>
      <w:r w:rsidRPr="005F5F47">
        <w:rPr>
          <w:rFonts w:ascii="Times New Roman" w:eastAsia="Times New Roman" w:hAnsi="Times New Roman" w:cs="Times New Roman"/>
          <w:sz w:val="24"/>
          <w:szCs w:val="24"/>
          <w:lang w:eastAsia="en-SG"/>
        </w:rPr>
        <w:t xml:space="preserve"> 701 Phil. 96 (2013).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[31]</w:t>
      </w:r>
      <w:r w:rsidRPr="005F5F47">
        <w:rPr>
          <w:rFonts w:ascii="Times New Roman" w:eastAsia="Times New Roman" w:hAnsi="Times New Roman" w:cs="Times New Roman"/>
          <w:sz w:val="24"/>
          <w:szCs w:val="24"/>
          <w:lang w:eastAsia="en-SG"/>
        </w:rPr>
        <w:t xml:space="preserve"> 584 Phil. 246 (2008).</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[32]</w:t>
      </w:r>
      <w:r w:rsidRPr="005F5F47">
        <w:rPr>
          <w:rFonts w:ascii="Times New Roman" w:eastAsia="Times New Roman" w:hAnsi="Times New Roman" w:cs="Times New Roman"/>
          <w:sz w:val="24"/>
          <w:szCs w:val="24"/>
          <w:lang w:eastAsia="en-SG"/>
        </w:rPr>
        <w:t xml:space="preserve"> Id at 283.</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lastRenderedPageBreak/>
        <w:t>[33]</w:t>
      </w:r>
      <w:r w:rsidRPr="005F5F47">
        <w:rPr>
          <w:rFonts w:ascii="Times New Roman" w:eastAsia="Times New Roman" w:hAnsi="Times New Roman" w:cs="Times New Roman"/>
          <w:sz w:val="24"/>
          <w:szCs w:val="24"/>
          <w:lang w:eastAsia="en-SG"/>
        </w:rPr>
        <w:t xml:space="preserve"> Sec. </w:t>
      </w:r>
      <w:proofErr w:type="gramStart"/>
      <w:r w:rsidRPr="005F5F47">
        <w:rPr>
          <w:rFonts w:ascii="Times New Roman" w:eastAsia="Times New Roman" w:hAnsi="Times New Roman" w:cs="Times New Roman"/>
          <w:sz w:val="24"/>
          <w:szCs w:val="24"/>
          <w:lang w:eastAsia="en-SG"/>
        </w:rPr>
        <w:t>2(j</w:t>
      </w:r>
      <w:proofErr w:type="gramEnd"/>
      <w:r w:rsidRPr="005F5F47">
        <w:rPr>
          <w:rFonts w:ascii="Times New Roman" w:eastAsia="Times New Roman" w:hAnsi="Times New Roman" w:cs="Times New Roman"/>
          <w:sz w:val="24"/>
          <w:szCs w:val="24"/>
          <w:lang w:eastAsia="en-SG"/>
        </w:rPr>
        <w:t>), R.A. No. 9136.</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[34]</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Chamber of Real Estate and Builders' Associations, Inc. v. Energy Regulatory Commission (ERC) et al.</w:t>
      </w:r>
      <w:r w:rsidRPr="005F5F47">
        <w:rPr>
          <w:rFonts w:ascii="Times New Roman" w:eastAsia="Times New Roman" w:hAnsi="Times New Roman" w:cs="Times New Roman"/>
          <w:sz w:val="24"/>
          <w:szCs w:val="24"/>
          <w:lang w:eastAsia="en-SG"/>
        </w:rPr>
        <w:t>, 638 Phil. 542, 546 (2010).</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[35]</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 xml:space="preserve">The Province of </w:t>
      </w:r>
      <w:proofErr w:type="spellStart"/>
      <w:r w:rsidRPr="005F5F47">
        <w:rPr>
          <w:rFonts w:ascii="Times New Roman" w:eastAsia="Times New Roman" w:hAnsi="Times New Roman" w:cs="Times New Roman"/>
          <w:i/>
          <w:iCs/>
          <w:sz w:val="24"/>
          <w:szCs w:val="24"/>
          <w:lang w:eastAsia="en-SG"/>
        </w:rPr>
        <w:t>Agusan</w:t>
      </w:r>
      <w:proofErr w:type="spellEnd"/>
      <w:r w:rsidRPr="005F5F47">
        <w:rPr>
          <w:rFonts w:ascii="Times New Roman" w:eastAsia="Times New Roman" w:hAnsi="Times New Roman" w:cs="Times New Roman"/>
          <w:i/>
          <w:iCs/>
          <w:sz w:val="24"/>
          <w:szCs w:val="24"/>
          <w:lang w:eastAsia="en-SG"/>
        </w:rPr>
        <w:t xml:space="preserve"> Del </w:t>
      </w:r>
      <w:proofErr w:type="spellStart"/>
      <w:r w:rsidRPr="005F5F47">
        <w:rPr>
          <w:rFonts w:ascii="Times New Roman" w:eastAsia="Times New Roman" w:hAnsi="Times New Roman" w:cs="Times New Roman"/>
          <w:i/>
          <w:iCs/>
          <w:sz w:val="24"/>
          <w:szCs w:val="24"/>
          <w:lang w:eastAsia="en-SG"/>
        </w:rPr>
        <w:t>Norte</w:t>
      </w:r>
      <w:proofErr w:type="spellEnd"/>
      <w:r w:rsidRPr="005F5F47">
        <w:rPr>
          <w:rFonts w:ascii="Times New Roman" w:eastAsia="Times New Roman" w:hAnsi="Times New Roman" w:cs="Times New Roman"/>
          <w:i/>
          <w:iCs/>
          <w:sz w:val="24"/>
          <w:szCs w:val="24"/>
          <w:lang w:eastAsia="en-SG"/>
        </w:rPr>
        <w:t xml:space="preserve"> v. The Commission on Elections (COMELEC), et al.</w:t>
      </w:r>
      <w:r w:rsidRPr="005F5F47">
        <w:rPr>
          <w:rFonts w:ascii="Times New Roman" w:eastAsia="Times New Roman" w:hAnsi="Times New Roman" w:cs="Times New Roman"/>
          <w:sz w:val="24"/>
          <w:szCs w:val="24"/>
          <w:lang w:eastAsia="en-SG"/>
        </w:rPr>
        <w:t xml:space="preserve">, 550 Phil. 271, 281 (2007). </w:t>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sz w:val="24"/>
          <w:szCs w:val="24"/>
          <w:lang w:eastAsia="en-SG"/>
        </w:rPr>
        <w:br/>
      </w:r>
      <w:r w:rsidRPr="005F5F47">
        <w:rPr>
          <w:rFonts w:ascii="Times New Roman" w:eastAsia="Times New Roman" w:hAnsi="Times New Roman" w:cs="Times New Roman"/>
          <w:color w:val="FF0000"/>
          <w:sz w:val="24"/>
          <w:szCs w:val="24"/>
          <w:vertAlign w:val="superscript"/>
          <w:lang w:eastAsia="en-SG"/>
        </w:rPr>
        <w:t>[36]</w:t>
      </w:r>
      <w:r w:rsidRPr="005F5F47">
        <w:rPr>
          <w:rFonts w:ascii="Times New Roman" w:eastAsia="Times New Roman" w:hAnsi="Times New Roman" w:cs="Times New Roman"/>
          <w:sz w:val="24"/>
          <w:szCs w:val="24"/>
          <w:lang w:eastAsia="en-SG"/>
        </w:rPr>
        <w:t xml:space="preserve"> </w:t>
      </w:r>
      <w:r w:rsidRPr="005F5F47">
        <w:rPr>
          <w:rFonts w:ascii="Times New Roman" w:eastAsia="Times New Roman" w:hAnsi="Times New Roman" w:cs="Times New Roman"/>
          <w:i/>
          <w:iCs/>
          <w:sz w:val="24"/>
          <w:szCs w:val="24"/>
          <w:lang w:eastAsia="en-SG"/>
        </w:rPr>
        <w:t>Rollo</w:t>
      </w:r>
      <w:r w:rsidRPr="005F5F47">
        <w:rPr>
          <w:rFonts w:ascii="Times New Roman" w:eastAsia="Times New Roman" w:hAnsi="Times New Roman" w:cs="Times New Roman"/>
          <w:sz w:val="24"/>
          <w:szCs w:val="24"/>
          <w:lang w:eastAsia="en-SG"/>
        </w:rPr>
        <w:t>, Vol. II, pp. 1188-1189.</w:t>
      </w:r>
    </w:p>
    <w:p w:rsidR="005F5F47" w:rsidRPr="005F5F47" w:rsidRDefault="005F5F47" w:rsidP="005F5F47">
      <w:pPr>
        <w:spacing w:after="0" w:line="240" w:lineRule="auto"/>
        <w:jc w:val="center"/>
        <w:rPr>
          <w:rFonts w:ascii="Times New Roman" w:eastAsia="Times New Roman" w:hAnsi="Times New Roman" w:cs="Times New Roman"/>
          <w:sz w:val="24"/>
          <w:szCs w:val="24"/>
          <w:lang w:eastAsia="en-SG"/>
        </w:rPr>
      </w:pPr>
      <w:r w:rsidRPr="005F5F47">
        <w:rPr>
          <w:rFonts w:ascii="Times New Roman" w:eastAsia="Times New Roman" w:hAnsi="Times New Roman" w:cs="Times New Roman"/>
          <w:sz w:val="24"/>
          <w:szCs w:val="24"/>
          <w:lang w:eastAsia="en-SG"/>
        </w:rPr>
        <w:t>© Supreme Court E-Library 2019</w:t>
      </w:r>
      <w:r w:rsidRPr="005F5F47">
        <w:rPr>
          <w:rFonts w:ascii="Times New Roman" w:eastAsia="Times New Roman" w:hAnsi="Times New Roman" w:cs="Times New Roman"/>
          <w:sz w:val="24"/>
          <w:szCs w:val="24"/>
          <w:lang w:eastAsia="en-SG"/>
        </w:rPr>
        <w:br/>
      </w:r>
      <w:proofErr w:type="gramStart"/>
      <w:r w:rsidRPr="005F5F47">
        <w:rPr>
          <w:rFonts w:ascii="Times New Roman" w:eastAsia="Times New Roman" w:hAnsi="Times New Roman" w:cs="Times New Roman"/>
          <w:sz w:val="24"/>
          <w:szCs w:val="24"/>
          <w:lang w:eastAsia="en-SG"/>
        </w:rPr>
        <w:t>This</w:t>
      </w:r>
      <w:proofErr w:type="gramEnd"/>
      <w:r w:rsidRPr="005F5F47">
        <w:rPr>
          <w:rFonts w:ascii="Times New Roman" w:eastAsia="Times New Roman" w:hAnsi="Times New Roman" w:cs="Times New Roman"/>
          <w:sz w:val="24"/>
          <w:szCs w:val="24"/>
          <w:lang w:eastAsia="en-SG"/>
        </w:rPr>
        <w:t xml:space="preserve"> website was designed and developed, and is maintained, by the E-Library Technical Staff in collaboration with the Management Information Systems Office.</w:t>
      </w:r>
    </w:p>
    <w:p w:rsidR="003048F7" w:rsidRDefault="003048F7"/>
    <w:sectPr w:rsidR="003048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D81676"/>
    <w:multiLevelType w:val="multilevel"/>
    <w:tmpl w:val="A3825F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FA648D"/>
    <w:multiLevelType w:val="multilevel"/>
    <w:tmpl w:val="6638D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7B6CC4"/>
    <w:multiLevelType w:val="multilevel"/>
    <w:tmpl w:val="B554EFEC"/>
    <w:lvl w:ilvl="0">
      <w:start w:val="1"/>
      <w:numFmt w:val="lowerLetter"/>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5BE641F5"/>
    <w:multiLevelType w:val="multilevel"/>
    <w:tmpl w:val="081C9B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75668F0"/>
    <w:multiLevelType w:val="multilevel"/>
    <w:tmpl w:val="F58CC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F937167"/>
    <w:multiLevelType w:val="multilevel"/>
    <w:tmpl w:val="AF7A6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5"/>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5F47"/>
    <w:rsid w:val="003048F7"/>
    <w:rsid w:val="005F5F47"/>
    <w:rsid w:val="00D871B5"/>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14E5AE-0D84-4985-A617-F6F632952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5F5F4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SG"/>
    </w:rPr>
  </w:style>
  <w:style w:type="paragraph" w:styleId="Heading2">
    <w:name w:val="heading 2"/>
    <w:basedOn w:val="Normal"/>
    <w:link w:val="Heading2Char"/>
    <w:uiPriority w:val="9"/>
    <w:qFormat/>
    <w:rsid w:val="005F5F47"/>
    <w:pPr>
      <w:spacing w:before="100" w:beforeAutospacing="1" w:after="100" w:afterAutospacing="1" w:line="240" w:lineRule="auto"/>
      <w:outlineLvl w:val="1"/>
    </w:pPr>
    <w:rPr>
      <w:rFonts w:ascii="Times New Roman" w:eastAsia="Times New Roman" w:hAnsi="Times New Roman" w:cs="Times New Roman"/>
      <w:b/>
      <w:bCs/>
      <w:sz w:val="36"/>
      <w:szCs w:val="36"/>
      <w:lang w:eastAsia="en-SG"/>
    </w:rPr>
  </w:style>
  <w:style w:type="paragraph" w:styleId="Heading3">
    <w:name w:val="heading 3"/>
    <w:basedOn w:val="Normal"/>
    <w:link w:val="Heading3Char"/>
    <w:uiPriority w:val="9"/>
    <w:qFormat/>
    <w:rsid w:val="005F5F47"/>
    <w:pPr>
      <w:spacing w:before="100" w:beforeAutospacing="1" w:after="100" w:afterAutospacing="1" w:line="240" w:lineRule="auto"/>
      <w:outlineLvl w:val="2"/>
    </w:pPr>
    <w:rPr>
      <w:rFonts w:ascii="Times New Roman" w:eastAsia="Times New Roman" w:hAnsi="Times New Roman" w:cs="Times New Roman"/>
      <w:b/>
      <w:bCs/>
      <w:sz w:val="27"/>
      <w:szCs w:val="27"/>
      <w:lang w:eastAsia="en-SG"/>
    </w:rPr>
  </w:style>
  <w:style w:type="paragraph" w:styleId="Heading4">
    <w:name w:val="heading 4"/>
    <w:basedOn w:val="Normal"/>
    <w:link w:val="Heading4Char"/>
    <w:uiPriority w:val="9"/>
    <w:qFormat/>
    <w:rsid w:val="005F5F47"/>
    <w:pPr>
      <w:spacing w:before="100" w:beforeAutospacing="1" w:after="100" w:afterAutospacing="1" w:line="240" w:lineRule="auto"/>
      <w:outlineLvl w:val="3"/>
    </w:pPr>
    <w:rPr>
      <w:rFonts w:ascii="Times New Roman" w:eastAsia="Times New Roman" w:hAnsi="Times New Roman" w:cs="Times New Roman"/>
      <w:b/>
      <w:bCs/>
      <w:sz w:val="24"/>
      <w:szCs w:val="24"/>
      <w:lang w:eastAsia="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5F47"/>
    <w:rPr>
      <w:rFonts w:ascii="Times New Roman" w:eastAsia="Times New Roman" w:hAnsi="Times New Roman" w:cs="Times New Roman"/>
      <w:b/>
      <w:bCs/>
      <w:kern w:val="36"/>
      <w:sz w:val="48"/>
      <w:szCs w:val="48"/>
      <w:lang w:eastAsia="en-SG"/>
    </w:rPr>
  </w:style>
  <w:style w:type="character" w:customStyle="1" w:styleId="Heading2Char">
    <w:name w:val="Heading 2 Char"/>
    <w:basedOn w:val="DefaultParagraphFont"/>
    <w:link w:val="Heading2"/>
    <w:uiPriority w:val="9"/>
    <w:rsid w:val="005F5F47"/>
    <w:rPr>
      <w:rFonts w:ascii="Times New Roman" w:eastAsia="Times New Roman" w:hAnsi="Times New Roman" w:cs="Times New Roman"/>
      <w:b/>
      <w:bCs/>
      <w:sz w:val="36"/>
      <w:szCs w:val="36"/>
      <w:lang w:eastAsia="en-SG"/>
    </w:rPr>
  </w:style>
  <w:style w:type="character" w:customStyle="1" w:styleId="Heading3Char">
    <w:name w:val="Heading 3 Char"/>
    <w:basedOn w:val="DefaultParagraphFont"/>
    <w:link w:val="Heading3"/>
    <w:uiPriority w:val="9"/>
    <w:rsid w:val="005F5F47"/>
    <w:rPr>
      <w:rFonts w:ascii="Times New Roman" w:eastAsia="Times New Roman" w:hAnsi="Times New Roman" w:cs="Times New Roman"/>
      <w:b/>
      <w:bCs/>
      <w:sz w:val="27"/>
      <w:szCs w:val="27"/>
      <w:lang w:eastAsia="en-SG"/>
    </w:rPr>
  </w:style>
  <w:style w:type="character" w:customStyle="1" w:styleId="Heading4Char">
    <w:name w:val="Heading 4 Char"/>
    <w:basedOn w:val="DefaultParagraphFont"/>
    <w:link w:val="Heading4"/>
    <w:uiPriority w:val="9"/>
    <w:rsid w:val="005F5F47"/>
    <w:rPr>
      <w:rFonts w:ascii="Times New Roman" w:eastAsia="Times New Roman" w:hAnsi="Times New Roman" w:cs="Times New Roman"/>
      <w:b/>
      <w:bCs/>
      <w:sz w:val="24"/>
      <w:szCs w:val="24"/>
      <w:lang w:eastAsia="en-SG"/>
    </w:rPr>
  </w:style>
  <w:style w:type="character" w:styleId="Hyperlink">
    <w:name w:val="Hyperlink"/>
    <w:basedOn w:val="DefaultParagraphFont"/>
    <w:uiPriority w:val="99"/>
    <w:semiHidden/>
    <w:unhideWhenUsed/>
    <w:rsid w:val="005F5F47"/>
    <w:rPr>
      <w:color w:val="0000FF"/>
      <w:u w:val="single"/>
    </w:rPr>
  </w:style>
  <w:style w:type="character" w:styleId="FollowedHyperlink">
    <w:name w:val="FollowedHyperlink"/>
    <w:basedOn w:val="DefaultParagraphFont"/>
    <w:uiPriority w:val="99"/>
    <w:semiHidden/>
    <w:unhideWhenUsed/>
    <w:rsid w:val="005F5F47"/>
    <w:rPr>
      <w:color w:val="800080"/>
      <w:u w:val="single"/>
    </w:rPr>
  </w:style>
  <w:style w:type="paragraph" w:styleId="NormalWeb">
    <w:name w:val="Normal (Web)"/>
    <w:basedOn w:val="Normal"/>
    <w:uiPriority w:val="99"/>
    <w:semiHidden/>
    <w:unhideWhenUsed/>
    <w:rsid w:val="005F5F47"/>
    <w:pPr>
      <w:spacing w:before="100" w:beforeAutospacing="1" w:after="100" w:afterAutospacing="1" w:line="240" w:lineRule="auto"/>
    </w:pPr>
    <w:rPr>
      <w:rFonts w:ascii="Times New Roman" w:eastAsia="Times New Roman" w:hAnsi="Times New Roman" w:cs="Times New Roman"/>
      <w:sz w:val="24"/>
      <w:szCs w:val="24"/>
      <w:lang w:eastAsia="en-SG"/>
    </w:rPr>
  </w:style>
  <w:style w:type="paragraph" w:styleId="z-TopofForm">
    <w:name w:val="HTML Top of Form"/>
    <w:basedOn w:val="Normal"/>
    <w:next w:val="Normal"/>
    <w:link w:val="z-TopofFormChar"/>
    <w:hidden/>
    <w:uiPriority w:val="99"/>
    <w:semiHidden/>
    <w:unhideWhenUsed/>
    <w:rsid w:val="005F5F47"/>
    <w:pPr>
      <w:pBdr>
        <w:bottom w:val="single" w:sz="6" w:space="1" w:color="auto"/>
      </w:pBdr>
      <w:spacing w:after="0" w:line="240" w:lineRule="auto"/>
      <w:jc w:val="center"/>
    </w:pPr>
    <w:rPr>
      <w:rFonts w:ascii="Arial" w:eastAsia="Times New Roman" w:hAnsi="Arial" w:cs="Arial"/>
      <w:vanish/>
      <w:sz w:val="16"/>
      <w:szCs w:val="16"/>
      <w:lang w:eastAsia="en-SG"/>
    </w:rPr>
  </w:style>
  <w:style w:type="character" w:customStyle="1" w:styleId="z-TopofFormChar">
    <w:name w:val="z-Top of Form Char"/>
    <w:basedOn w:val="DefaultParagraphFont"/>
    <w:link w:val="z-TopofForm"/>
    <w:uiPriority w:val="99"/>
    <w:semiHidden/>
    <w:rsid w:val="005F5F47"/>
    <w:rPr>
      <w:rFonts w:ascii="Arial" w:eastAsia="Times New Roman" w:hAnsi="Arial" w:cs="Arial"/>
      <w:vanish/>
      <w:sz w:val="16"/>
      <w:szCs w:val="16"/>
      <w:lang w:eastAsia="en-SG"/>
    </w:rPr>
  </w:style>
  <w:style w:type="paragraph" w:customStyle="1" w:styleId="rememberme">
    <w:name w:val="rememberme"/>
    <w:basedOn w:val="Normal"/>
    <w:rsid w:val="005F5F47"/>
    <w:pPr>
      <w:spacing w:before="100" w:beforeAutospacing="1" w:after="100" w:afterAutospacing="1" w:line="240" w:lineRule="auto"/>
    </w:pPr>
    <w:rPr>
      <w:rFonts w:ascii="Times New Roman" w:eastAsia="Times New Roman" w:hAnsi="Times New Roman" w:cs="Times New Roman"/>
      <w:sz w:val="24"/>
      <w:szCs w:val="24"/>
      <w:lang w:eastAsia="en-SG"/>
    </w:rPr>
  </w:style>
  <w:style w:type="paragraph" w:customStyle="1" w:styleId="submit">
    <w:name w:val="submit"/>
    <w:basedOn w:val="Normal"/>
    <w:rsid w:val="005F5F47"/>
    <w:pPr>
      <w:spacing w:before="100" w:beforeAutospacing="1" w:after="100" w:afterAutospacing="1" w:line="240" w:lineRule="auto"/>
    </w:pPr>
    <w:rPr>
      <w:rFonts w:ascii="Times New Roman" w:eastAsia="Times New Roman" w:hAnsi="Times New Roman" w:cs="Times New Roman"/>
      <w:sz w:val="24"/>
      <w:szCs w:val="24"/>
      <w:lang w:eastAsia="en-SG"/>
    </w:rPr>
  </w:style>
  <w:style w:type="paragraph" w:styleId="z-BottomofForm">
    <w:name w:val="HTML Bottom of Form"/>
    <w:basedOn w:val="Normal"/>
    <w:next w:val="Normal"/>
    <w:link w:val="z-BottomofFormChar"/>
    <w:hidden/>
    <w:uiPriority w:val="99"/>
    <w:semiHidden/>
    <w:unhideWhenUsed/>
    <w:rsid w:val="005F5F47"/>
    <w:pPr>
      <w:pBdr>
        <w:top w:val="single" w:sz="6" w:space="1" w:color="auto"/>
      </w:pBdr>
      <w:spacing w:after="0" w:line="240" w:lineRule="auto"/>
      <w:jc w:val="center"/>
    </w:pPr>
    <w:rPr>
      <w:rFonts w:ascii="Arial" w:eastAsia="Times New Roman" w:hAnsi="Arial" w:cs="Arial"/>
      <w:vanish/>
      <w:sz w:val="16"/>
      <w:szCs w:val="16"/>
      <w:lang w:eastAsia="en-SG"/>
    </w:rPr>
  </w:style>
  <w:style w:type="character" w:customStyle="1" w:styleId="z-BottomofFormChar">
    <w:name w:val="z-Bottom of Form Char"/>
    <w:basedOn w:val="DefaultParagraphFont"/>
    <w:link w:val="z-BottomofForm"/>
    <w:uiPriority w:val="99"/>
    <w:semiHidden/>
    <w:rsid w:val="005F5F47"/>
    <w:rPr>
      <w:rFonts w:ascii="Arial" w:eastAsia="Times New Roman" w:hAnsi="Arial" w:cs="Arial"/>
      <w:vanish/>
      <w:sz w:val="16"/>
      <w:szCs w:val="16"/>
      <w:lang w:eastAsia="en-SG"/>
    </w:rPr>
  </w:style>
  <w:style w:type="character" w:styleId="Strong">
    <w:name w:val="Strong"/>
    <w:basedOn w:val="DefaultParagraphFont"/>
    <w:uiPriority w:val="22"/>
    <w:qFormat/>
    <w:rsid w:val="005F5F47"/>
    <w:rPr>
      <w:b/>
      <w:bCs/>
    </w:rPr>
  </w:style>
  <w:style w:type="character" w:styleId="Emphasis">
    <w:name w:val="Emphasis"/>
    <w:basedOn w:val="DefaultParagraphFont"/>
    <w:uiPriority w:val="20"/>
    <w:qFormat/>
    <w:rsid w:val="005F5F4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5851233">
      <w:bodyDiv w:val="1"/>
      <w:marLeft w:val="0"/>
      <w:marRight w:val="0"/>
      <w:marTop w:val="0"/>
      <w:marBottom w:val="0"/>
      <w:divBdr>
        <w:top w:val="none" w:sz="0" w:space="0" w:color="auto"/>
        <w:left w:val="none" w:sz="0" w:space="0" w:color="auto"/>
        <w:bottom w:val="none" w:sz="0" w:space="0" w:color="auto"/>
        <w:right w:val="none" w:sz="0" w:space="0" w:color="auto"/>
      </w:divBdr>
      <w:divsChild>
        <w:div w:id="68698214">
          <w:marLeft w:val="0"/>
          <w:marRight w:val="0"/>
          <w:marTop w:val="0"/>
          <w:marBottom w:val="0"/>
          <w:divBdr>
            <w:top w:val="none" w:sz="0" w:space="0" w:color="auto"/>
            <w:left w:val="none" w:sz="0" w:space="0" w:color="auto"/>
            <w:bottom w:val="none" w:sz="0" w:space="0" w:color="auto"/>
            <w:right w:val="none" w:sz="0" w:space="0" w:color="auto"/>
          </w:divBdr>
          <w:divsChild>
            <w:div w:id="939140949">
              <w:marLeft w:val="0"/>
              <w:marRight w:val="0"/>
              <w:marTop w:val="0"/>
              <w:marBottom w:val="0"/>
              <w:divBdr>
                <w:top w:val="none" w:sz="0" w:space="0" w:color="auto"/>
                <w:left w:val="none" w:sz="0" w:space="0" w:color="auto"/>
                <w:bottom w:val="none" w:sz="0" w:space="0" w:color="auto"/>
                <w:right w:val="none" w:sz="0" w:space="0" w:color="auto"/>
              </w:divBdr>
            </w:div>
            <w:div w:id="1303732501">
              <w:marLeft w:val="0"/>
              <w:marRight w:val="0"/>
              <w:marTop w:val="0"/>
              <w:marBottom w:val="0"/>
              <w:divBdr>
                <w:top w:val="none" w:sz="0" w:space="0" w:color="auto"/>
                <w:left w:val="none" w:sz="0" w:space="0" w:color="auto"/>
                <w:bottom w:val="none" w:sz="0" w:space="0" w:color="auto"/>
                <w:right w:val="none" w:sz="0" w:space="0" w:color="auto"/>
              </w:divBdr>
            </w:div>
            <w:div w:id="1283998865">
              <w:marLeft w:val="0"/>
              <w:marRight w:val="0"/>
              <w:marTop w:val="0"/>
              <w:marBottom w:val="0"/>
              <w:divBdr>
                <w:top w:val="none" w:sz="0" w:space="0" w:color="auto"/>
                <w:left w:val="none" w:sz="0" w:space="0" w:color="auto"/>
                <w:bottom w:val="none" w:sz="0" w:space="0" w:color="auto"/>
                <w:right w:val="none" w:sz="0" w:space="0" w:color="auto"/>
              </w:divBdr>
              <w:divsChild>
                <w:div w:id="283771386">
                  <w:marLeft w:val="0"/>
                  <w:marRight w:val="0"/>
                  <w:marTop w:val="0"/>
                  <w:marBottom w:val="0"/>
                  <w:divBdr>
                    <w:top w:val="none" w:sz="0" w:space="0" w:color="auto"/>
                    <w:left w:val="none" w:sz="0" w:space="0" w:color="auto"/>
                    <w:bottom w:val="none" w:sz="0" w:space="0" w:color="auto"/>
                    <w:right w:val="none" w:sz="0" w:space="0" w:color="auto"/>
                  </w:divBdr>
                  <w:divsChild>
                    <w:div w:id="197212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0321829">
          <w:marLeft w:val="0"/>
          <w:marRight w:val="0"/>
          <w:marTop w:val="0"/>
          <w:marBottom w:val="0"/>
          <w:divBdr>
            <w:top w:val="none" w:sz="0" w:space="0" w:color="auto"/>
            <w:left w:val="none" w:sz="0" w:space="0" w:color="auto"/>
            <w:bottom w:val="none" w:sz="0" w:space="0" w:color="auto"/>
            <w:right w:val="none" w:sz="0" w:space="0" w:color="auto"/>
          </w:divBdr>
          <w:divsChild>
            <w:div w:id="1698769249">
              <w:marLeft w:val="0"/>
              <w:marRight w:val="0"/>
              <w:marTop w:val="0"/>
              <w:marBottom w:val="0"/>
              <w:divBdr>
                <w:top w:val="none" w:sz="0" w:space="0" w:color="auto"/>
                <w:left w:val="none" w:sz="0" w:space="0" w:color="auto"/>
                <w:bottom w:val="none" w:sz="0" w:space="0" w:color="auto"/>
                <w:right w:val="none" w:sz="0" w:space="0" w:color="auto"/>
              </w:divBdr>
              <w:divsChild>
                <w:div w:id="974868668">
                  <w:marLeft w:val="0"/>
                  <w:marRight w:val="0"/>
                  <w:marTop w:val="0"/>
                  <w:marBottom w:val="0"/>
                  <w:divBdr>
                    <w:top w:val="none" w:sz="0" w:space="0" w:color="auto"/>
                    <w:left w:val="none" w:sz="0" w:space="0" w:color="auto"/>
                    <w:bottom w:val="none" w:sz="0" w:space="0" w:color="auto"/>
                    <w:right w:val="none" w:sz="0" w:space="0" w:color="auto"/>
                  </w:divBdr>
                  <w:divsChild>
                    <w:div w:id="454494027">
                      <w:marLeft w:val="0"/>
                      <w:marRight w:val="0"/>
                      <w:marTop w:val="0"/>
                      <w:marBottom w:val="0"/>
                      <w:divBdr>
                        <w:top w:val="none" w:sz="0" w:space="0" w:color="auto"/>
                        <w:left w:val="none" w:sz="0" w:space="0" w:color="auto"/>
                        <w:bottom w:val="none" w:sz="0" w:space="0" w:color="auto"/>
                        <w:right w:val="none" w:sz="0" w:space="0" w:color="auto"/>
                      </w:divBdr>
                    </w:div>
                    <w:div w:id="1283343956">
                      <w:marLeft w:val="0"/>
                      <w:marRight w:val="0"/>
                      <w:marTop w:val="0"/>
                      <w:marBottom w:val="0"/>
                      <w:divBdr>
                        <w:top w:val="none" w:sz="0" w:space="0" w:color="auto"/>
                        <w:left w:val="none" w:sz="0" w:space="0" w:color="auto"/>
                        <w:bottom w:val="none" w:sz="0" w:space="0" w:color="auto"/>
                        <w:right w:val="none" w:sz="0" w:space="0" w:color="auto"/>
                      </w:divBdr>
                    </w:div>
                    <w:div w:id="401683376">
                      <w:marLeft w:val="0"/>
                      <w:marRight w:val="0"/>
                      <w:marTop w:val="0"/>
                      <w:marBottom w:val="0"/>
                      <w:divBdr>
                        <w:top w:val="none" w:sz="0" w:space="0" w:color="auto"/>
                        <w:left w:val="none" w:sz="0" w:space="0" w:color="auto"/>
                        <w:bottom w:val="none" w:sz="0" w:space="0" w:color="auto"/>
                        <w:right w:val="none" w:sz="0" w:space="0" w:color="auto"/>
                      </w:divBdr>
                    </w:div>
                    <w:div w:id="1759910982">
                      <w:marLeft w:val="0"/>
                      <w:marRight w:val="0"/>
                      <w:marTop w:val="0"/>
                      <w:marBottom w:val="0"/>
                      <w:divBdr>
                        <w:top w:val="none" w:sz="0" w:space="0" w:color="auto"/>
                        <w:left w:val="none" w:sz="0" w:space="0" w:color="auto"/>
                        <w:bottom w:val="none" w:sz="0" w:space="0" w:color="auto"/>
                        <w:right w:val="none" w:sz="0" w:space="0" w:color="auto"/>
                      </w:divBdr>
                    </w:div>
                  </w:divsChild>
                </w:div>
                <w:div w:id="1210074339">
                  <w:marLeft w:val="0"/>
                  <w:marRight w:val="0"/>
                  <w:marTop w:val="0"/>
                  <w:marBottom w:val="0"/>
                  <w:divBdr>
                    <w:top w:val="none" w:sz="0" w:space="0" w:color="auto"/>
                    <w:left w:val="none" w:sz="0" w:space="0" w:color="auto"/>
                    <w:bottom w:val="none" w:sz="0" w:space="0" w:color="auto"/>
                    <w:right w:val="none" w:sz="0" w:space="0" w:color="auto"/>
                  </w:divBdr>
                  <w:divsChild>
                    <w:div w:id="1204246613">
                      <w:marLeft w:val="0"/>
                      <w:marRight w:val="0"/>
                      <w:marTop w:val="0"/>
                      <w:marBottom w:val="0"/>
                      <w:divBdr>
                        <w:top w:val="none" w:sz="0" w:space="0" w:color="auto"/>
                        <w:left w:val="none" w:sz="0" w:space="0" w:color="auto"/>
                        <w:bottom w:val="none" w:sz="0" w:space="0" w:color="auto"/>
                        <w:right w:val="none" w:sz="0" w:space="0" w:color="auto"/>
                      </w:divBdr>
                      <w:divsChild>
                        <w:div w:id="235364027">
                          <w:marLeft w:val="0"/>
                          <w:marRight w:val="0"/>
                          <w:marTop w:val="0"/>
                          <w:marBottom w:val="0"/>
                          <w:divBdr>
                            <w:top w:val="none" w:sz="0" w:space="0" w:color="auto"/>
                            <w:left w:val="none" w:sz="0" w:space="0" w:color="auto"/>
                            <w:bottom w:val="none" w:sz="0" w:space="0" w:color="auto"/>
                            <w:right w:val="none" w:sz="0" w:space="0" w:color="auto"/>
                          </w:divBdr>
                          <w:divsChild>
                            <w:div w:id="5486892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48739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8229188">
                              <w:blockQuote w:val="1"/>
                              <w:marLeft w:val="720"/>
                              <w:marRight w:val="720"/>
                              <w:marTop w:val="100"/>
                              <w:marBottom w:val="100"/>
                              <w:divBdr>
                                <w:top w:val="none" w:sz="0" w:space="0" w:color="auto"/>
                                <w:left w:val="none" w:sz="0" w:space="0" w:color="auto"/>
                                <w:bottom w:val="none" w:sz="0" w:space="0" w:color="auto"/>
                                <w:right w:val="none" w:sz="0" w:space="0" w:color="auto"/>
                              </w:divBdr>
                            </w:div>
                            <w:div w:id="471023072">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386786">
                              <w:blockQuote w:val="1"/>
                              <w:marLeft w:val="720"/>
                              <w:marRight w:val="720"/>
                              <w:marTop w:val="100"/>
                              <w:marBottom w:val="100"/>
                              <w:divBdr>
                                <w:top w:val="none" w:sz="0" w:space="0" w:color="auto"/>
                                <w:left w:val="none" w:sz="0" w:space="0" w:color="auto"/>
                                <w:bottom w:val="none" w:sz="0" w:space="0" w:color="auto"/>
                                <w:right w:val="none" w:sz="0" w:space="0" w:color="auto"/>
                              </w:divBdr>
                            </w:div>
                            <w:div w:id="382796341">
                              <w:blockQuote w:val="1"/>
                              <w:marLeft w:val="720"/>
                              <w:marRight w:val="720"/>
                              <w:marTop w:val="100"/>
                              <w:marBottom w:val="100"/>
                              <w:divBdr>
                                <w:top w:val="none" w:sz="0" w:space="0" w:color="auto"/>
                                <w:left w:val="none" w:sz="0" w:space="0" w:color="auto"/>
                                <w:bottom w:val="none" w:sz="0" w:space="0" w:color="auto"/>
                                <w:right w:val="none" w:sz="0" w:space="0" w:color="auto"/>
                              </w:divBdr>
                            </w:div>
                            <w:div w:id="65079339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98547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8035959">
                                  <w:marLeft w:val="0"/>
                                  <w:marRight w:val="0"/>
                                  <w:marTop w:val="0"/>
                                  <w:marBottom w:val="0"/>
                                  <w:divBdr>
                                    <w:top w:val="none" w:sz="0" w:space="0" w:color="auto"/>
                                    <w:left w:val="none" w:sz="0" w:space="0" w:color="auto"/>
                                    <w:bottom w:val="none" w:sz="0" w:space="0" w:color="auto"/>
                                    <w:right w:val="none" w:sz="0" w:space="0" w:color="auto"/>
                                  </w:divBdr>
                                </w:div>
                                <w:div w:id="1550075208">
                                  <w:marLeft w:val="0"/>
                                  <w:marRight w:val="0"/>
                                  <w:marTop w:val="0"/>
                                  <w:marBottom w:val="0"/>
                                  <w:divBdr>
                                    <w:top w:val="none" w:sz="0" w:space="0" w:color="auto"/>
                                    <w:left w:val="none" w:sz="0" w:space="0" w:color="auto"/>
                                    <w:bottom w:val="none" w:sz="0" w:space="0" w:color="auto"/>
                                    <w:right w:val="none" w:sz="0" w:space="0" w:color="auto"/>
                                  </w:divBdr>
                                </w:div>
                                <w:div w:id="87584488">
                                  <w:marLeft w:val="0"/>
                                  <w:marRight w:val="0"/>
                                  <w:marTop w:val="0"/>
                                  <w:marBottom w:val="0"/>
                                  <w:divBdr>
                                    <w:top w:val="none" w:sz="0" w:space="0" w:color="auto"/>
                                    <w:left w:val="none" w:sz="0" w:space="0" w:color="auto"/>
                                    <w:bottom w:val="none" w:sz="0" w:space="0" w:color="auto"/>
                                    <w:right w:val="none" w:sz="0" w:space="0" w:color="auto"/>
                                  </w:divBdr>
                                </w:div>
                                <w:div w:id="1747023688">
                                  <w:marLeft w:val="0"/>
                                  <w:marRight w:val="0"/>
                                  <w:marTop w:val="0"/>
                                  <w:marBottom w:val="0"/>
                                  <w:divBdr>
                                    <w:top w:val="none" w:sz="0" w:space="0" w:color="auto"/>
                                    <w:left w:val="none" w:sz="0" w:space="0" w:color="auto"/>
                                    <w:bottom w:val="none" w:sz="0" w:space="0" w:color="auto"/>
                                    <w:right w:val="none" w:sz="0" w:space="0" w:color="auto"/>
                                  </w:divBdr>
                                </w:div>
                                <w:div w:id="915554731">
                                  <w:marLeft w:val="0"/>
                                  <w:marRight w:val="0"/>
                                  <w:marTop w:val="0"/>
                                  <w:marBottom w:val="0"/>
                                  <w:divBdr>
                                    <w:top w:val="none" w:sz="0" w:space="0" w:color="auto"/>
                                    <w:left w:val="none" w:sz="0" w:space="0" w:color="auto"/>
                                    <w:bottom w:val="none" w:sz="0" w:space="0" w:color="auto"/>
                                    <w:right w:val="none" w:sz="0" w:space="0" w:color="auto"/>
                                  </w:divBdr>
                                </w:div>
                                <w:div w:id="1244073264">
                                  <w:marLeft w:val="0"/>
                                  <w:marRight w:val="0"/>
                                  <w:marTop w:val="0"/>
                                  <w:marBottom w:val="0"/>
                                  <w:divBdr>
                                    <w:top w:val="none" w:sz="0" w:space="0" w:color="auto"/>
                                    <w:left w:val="none" w:sz="0" w:space="0" w:color="auto"/>
                                    <w:bottom w:val="none" w:sz="0" w:space="0" w:color="auto"/>
                                    <w:right w:val="none" w:sz="0" w:space="0" w:color="auto"/>
                                  </w:divBdr>
                                </w:div>
                              </w:divsChild>
                            </w:div>
                            <w:div w:id="1912962122">
                              <w:blockQuote w:val="1"/>
                              <w:marLeft w:val="720"/>
                              <w:marRight w:val="720"/>
                              <w:marTop w:val="100"/>
                              <w:marBottom w:val="100"/>
                              <w:divBdr>
                                <w:top w:val="none" w:sz="0" w:space="0" w:color="auto"/>
                                <w:left w:val="none" w:sz="0" w:space="0" w:color="auto"/>
                                <w:bottom w:val="none" w:sz="0" w:space="0" w:color="auto"/>
                                <w:right w:val="none" w:sz="0" w:space="0" w:color="auto"/>
                              </w:divBdr>
                            </w:div>
                            <w:div w:id="1716152787">
                              <w:blockQuote w:val="1"/>
                              <w:marLeft w:val="720"/>
                              <w:marRight w:val="720"/>
                              <w:marTop w:val="100"/>
                              <w:marBottom w:val="100"/>
                              <w:divBdr>
                                <w:top w:val="none" w:sz="0" w:space="0" w:color="auto"/>
                                <w:left w:val="none" w:sz="0" w:space="0" w:color="auto"/>
                                <w:bottom w:val="none" w:sz="0" w:space="0" w:color="auto"/>
                                <w:right w:val="none" w:sz="0" w:space="0" w:color="auto"/>
                              </w:divBdr>
                            </w:div>
                            <w:div w:id="1680812980">
                              <w:blockQuote w:val="1"/>
                              <w:marLeft w:val="720"/>
                              <w:marRight w:val="720"/>
                              <w:marTop w:val="100"/>
                              <w:marBottom w:val="100"/>
                              <w:divBdr>
                                <w:top w:val="none" w:sz="0" w:space="0" w:color="auto"/>
                                <w:left w:val="none" w:sz="0" w:space="0" w:color="auto"/>
                                <w:bottom w:val="none" w:sz="0" w:space="0" w:color="auto"/>
                                <w:right w:val="none" w:sz="0" w:space="0" w:color="auto"/>
                              </w:divBdr>
                            </w:div>
                            <w:div w:id="821772499">
                              <w:blockQuote w:val="1"/>
                              <w:marLeft w:val="720"/>
                              <w:marRight w:val="720"/>
                              <w:marTop w:val="100"/>
                              <w:marBottom w:val="100"/>
                              <w:divBdr>
                                <w:top w:val="none" w:sz="0" w:space="0" w:color="auto"/>
                                <w:left w:val="none" w:sz="0" w:space="0" w:color="auto"/>
                                <w:bottom w:val="none" w:sz="0" w:space="0" w:color="auto"/>
                                <w:right w:val="none" w:sz="0" w:space="0" w:color="auto"/>
                              </w:divBdr>
                            </w:div>
                            <w:div w:id="1886477364">
                              <w:blockQuote w:val="1"/>
                              <w:marLeft w:val="720"/>
                              <w:marRight w:val="720"/>
                              <w:marTop w:val="100"/>
                              <w:marBottom w:val="100"/>
                              <w:divBdr>
                                <w:top w:val="none" w:sz="0" w:space="0" w:color="auto"/>
                                <w:left w:val="none" w:sz="0" w:space="0" w:color="auto"/>
                                <w:bottom w:val="none" w:sz="0" w:space="0" w:color="auto"/>
                                <w:right w:val="none" w:sz="0" w:space="0" w:color="auto"/>
                              </w:divBdr>
                            </w:div>
                            <w:div w:id="1399478436">
                              <w:marLeft w:val="0"/>
                              <w:marRight w:val="0"/>
                              <w:marTop w:val="0"/>
                              <w:marBottom w:val="0"/>
                              <w:divBdr>
                                <w:top w:val="none" w:sz="0" w:space="0" w:color="auto"/>
                                <w:left w:val="none" w:sz="0" w:space="0" w:color="auto"/>
                                <w:bottom w:val="none" w:sz="0" w:space="0" w:color="auto"/>
                                <w:right w:val="none" w:sz="0" w:space="0" w:color="auto"/>
                              </w:divBdr>
                            </w:div>
                            <w:div w:id="531848045">
                              <w:marLeft w:val="0"/>
                              <w:marRight w:val="0"/>
                              <w:marTop w:val="0"/>
                              <w:marBottom w:val="0"/>
                              <w:divBdr>
                                <w:top w:val="none" w:sz="0" w:space="0" w:color="auto"/>
                                <w:left w:val="none" w:sz="0" w:space="0" w:color="auto"/>
                                <w:bottom w:val="none" w:sz="0" w:space="0" w:color="auto"/>
                                <w:right w:val="none" w:sz="0" w:space="0" w:color="auto"/>
                              </w:divBdr>
                            </w:div>
                            <w:div w:id="395204213">
                              <w:marLeft w:val="0"/>
                              <w:marRight w:val="0"/>
                              <w:marTop w:val="0"/>
                              <w:marBottom w:val="0"/>
                              <w:divBdr>
                                <w:top w:val="none" w:sz="0" w:space="0" w:color="auto"/>
                                <w:left w:val="none" w:sz="0" w:space="0" w:color="auto"/>
                                <w:bottom w:val="none" w:sz="0" w:space="0" w:color="auto"/>
                                <w:right w:val="none" w:sz="0" w:space="0" w:color="auto"/>
                              </w:divBdr>
                            </w:div>
                            <w:div w:id="1736246390">
                              <w:marLeft w:val="0"/>
                              <w:marRight w:val="0"/>
                              <w:marTop w:val="0"/>
                              <w:marBottom w:val="0"/>
                              <w:divBdr>
                                <w:top w:val="none" w:sz="0" w:space="0" w:color="auto"/>
                                <w:left w:val="none" w:sz="0" w:space="0" w:color="auto"/>
                                <w:bottom w:val="none" w:sz="0" w:space="0" w:color="auto"/>
                                <w:right w:val="none" w:sz="0" w:space="0" w:color="auto"/>
                              </w:divBdr>
                            </w:div>
                            <w:div w:id="1952785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5199729">
                                  <w:marLeft w:val="0"/>
                                  <w:marRight w:val="0"/>
                                  <w:marTop w:val="0"/>
                                  <w:marBottom w:val="0"/>
                                  <w:divBdr>
                                    <w:top w:val="none" w:sz="0" w:space="0" w:color="auto"/>
                                    <w:left w:val="none" w:sz="0" w:space="0" w:color="auto"/>
                                    <w:bottom w:val="none" w:sz="0" w:space="0" w:color="auto"/>
                                    <w:right w:val="none" w:sz="0" w:space="0" w:color="auto"/>
                                  </w:divBdr>
                                </w:div>
                                <w:div w:id="208954037">
                                  <w:marLeft w:val="0"/>
                                  <w:marRight w:val="0"/>
                                  <w:marTop w:val="0"/>
                                  <w:marBottom w:val="0"/>
                                  <w:divBdr>
                                    <w:top w:val="none" w:sz="0" w:space="0" w:color="auto"/>
                                    <w:left w:val="none" w:sz="0" w:space="0" w:color="auto"/>
                                    <w:bottom w:val="none" w:sz="0" w:space="0" w:color="auto"/>
                                    <w:right w:val="none" w:sz="0" w:space="0" w:color="auto"/>
                                  </w:divBdr>
                                </w:div>
                                <w:div w:id="1481538116">
                                  <w:marLeft w:val="0"/>
                                  <w:marRight w:val="0"/>
                                  <w:marTop w:val="0"/>
                                  <w:marBottom w:val="0"/>
                                  <w:divBdr>
                                    <w:top w:val="none" w:sz="0" w:space="0" w:color="auto"/>
                                    <w:left w:val="none" w:sz="0" w:space="0" w:color="auto"/>
                                    <w:bottom w:val="none" w:sz="0" w:space="0" w:color="auto"/>
                                    <w:right w:val="none" w:sz="0" w:space="0" w:color="auto"/>
                                  </w:divBdr>
                                </w:div>
                                <w:div w:id="999192711">
                                  <w:marLeft w:val="0"/>
                                  <w:marRight w:val="0"/>
                                  <w:marTop w:val="0"/>
                                  <w:marBottom w:val="0"/>
                                  <w:divBdr>
                                    <w:top w:val="none" w:sz="0" w:space="0" w:color="auto"/>
                                    <w:left w:val="none" w:sz="0" w:space="0" w:color="auto"/>
                                    <w:bottom w:val="none" w:sz="0" w:space="0" w:color="auto"/>
                                    <w:right w:val="none" w:sz="0" w:space="0" w:color="auto"/>
                                  </w:divBdr>
                                </w:div>
                                <w:div w:id="1924143761">
                                  <w:marLeft w:val="0"/>
                                  <w:marRight w:val="0"/>
                                  <w:marTop w:val="0"/>
                                  <w:marBottom w:val="0"/>
                                  <w:divBdr>
                                    <w:top w:val="none" w:sz="0" w:space="0" w:color="auto"/>
                                    <w:left w:val="none" w:sz="0" w:space="0" w:color="auto"/>
                                    <w:bottom w:val="none" w:sz="0" w:space="0" w:color="auto"/>
                                    <w:right w:val="none" w:sz="0" w:space="0" w:color="auto"/>
                                  </w:divBdr>
                                </w:div>
                                <w:div w:id="1240290451">
                                  <w:marLeft w:val="0"/>
                                  <w:marRight w:val="0"/>
                                  <w:marTop w:val="0"/>
                                  <w:marBottom w:val="0"/>
                                  <w:divBdr>
                                    <w:top w:val="none" w:sz="0" w:space="0" w:color="auto"/>
                                    <w:left w:val="none" w:sz="0" w:space="0" w:color="auto"/>
                                    <w:bottom w:val="none" w:sz="0" w:space="0" w:color="auto"/>
                                    <w:right w:val="none" w:sz="0" w:space="0" w:color="auto"/>
                                  </w:divBdr>
                                </w:div>
                                <w:div w:id="451287906">
                                  <w:marLeft w:val="0"/>
                                  <w:marRight w:val="0"/>
                                  <w:marTop w:val="0"/>
                                  <w:marBottom w:val="0"/>
                                  <w:divBdr>
                                    <w:top w:val="none" w:sz="0" w:space="0" w:color="auto"/>
                                    <w:left w:val="none" w:sz="0" w:space="0" w:color="auto"/>
                                    <w:bottom w:val="none" w:sz="0" w:space="0" w:color="auto"/>
                                    <w:right w:val="none" w:sz="0" w:space="0" w:color="auto"/>
                                  </w:divBdr>
                                </w:div>
                                <w:div w:id="322397784">
                                  <w:marLeft w:val="0"/>
                                  <w:marRight w:val="0"/>
                                  <w:marTop w:val="0"/>
                                  <w:marBottom w:val="0"/>
                                  <w:divBdr>
                                    <w:top w:val="none" w:sz="0" w:space="0" w:color="auto"/>
                                    <w:left w:val="none" w:sz="0" w:space="0" w:color="auto"/>
                                    <w:bottom w:val="none" w:sz="0" w:space="0" w:color="auto"/>
                                    <w:right w:val="none" w:sz="0" w:space="0" w:color="auto"/>
                                  </w:divBdr>
                                </w:div>
                                <w:div w:id="1383677800">
                                  <w:marLeft w:val="0"/>
                                  <w:marRight w:val="0"/>
                                  <w:marTop w:val="0"/>
                                  <w:marBottom w:val="0"/>
                                  <w:divBdr>
                                    <w:top w:val="none" w:sz="0" w:space="0" w:color="auto"/>
                                    <w:left w:val="none" w:sz="0" w:space="0" w:color="auto"/>
                                    <w:bottom w:val="none" w:sz="0" w:space="0" w:color="auto"/>
                                    <w:right w:val="none" w:sz="0" w:space="0" w:color="auto"/>
                                  </w:divBdr>
                                </w:div>
                              </w:divsChild>
                            </w:div>
                            <w:div w:id="15699188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7807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69481403">
                              <w:blockQuote w:val="1"/>
                              <w:marLeft w:val="720"/>
                              <w:marRight w:val="720"/>
                              <w:marTop w:val="100"/>
                              <w:marBottom w:val="100"/>
                              <w:divBdr>
                                <w:top w:val="none" w:sz="0" w:space="0" w:color="auto"/>
                                <w:left w:val="none" w:sz="0" w:space="0" w:color="auto"/>
                                <w:bottom w:val="none" w:sz="0" w:space="0" w:color="auto"/>
                                <w:right w:val="none" w:sz="0" w:space="0" w:color="auto"/>
                              </w:divBdr>
                            </w:div>
                            <w:div w:id="12557444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8100350">
                                  <w:marLeft w:val="0"/>
                                  <w:marRight w:val="0"/>
                                  <w:marTop w:val="0"/>
                                  <w:marBottom w:val="0"/>
                                  <w:divBdr>
                                    <w:top w:val="none" w:sz="0" w:space="0" w:color="auto"/>
                                    <w:left w:val="none" w:sz="0" w:space="0" w:color="auto"/>
                                    <w:bottom w:val="none" w:sz="0" w:space="0" w:color="auto"/>
                                    <w:right w:val="none" w:sz="0" w:space="0" w:color="auto"/>
                                  </w:divBdr>
                                </w:div>
                                <w:div w:id="217595774">
                                  <w:marLeft w:val="0"/>
                                  <w:marRight w:val="0"/>
                                  <w:marTop w:val="0"/>
                                  <w:marBottom w:val="0"/>
                                  <w:divBdr>
                                    <w:top w:val="none" w:sz="0" w:space="0" w:color="auto"/>
                                    <w:left w:val="none" w:sz="0" w:space="0" w:color="auto"/>
                                    <w:bottom w:val="none" w:sz="0" w:space="0" w:color="auto"/>
                                    <w:right w:val="none" w:sz="0" w:space="0" w:color="auto"/>
                                  </w:divBdr>
                                </w:div>
                                <w:div w:id="1837915748">
                                  <w:marLeft w:val="0"/>
                                  <w:marRight w:val="0"/>
                                  <w:marTop w:val="0"/>
                                  <w:marBottom w:val="0"/>
                                  <w:divBdr>
                                    <w:top w:val="none" w:sz="0" w:space="0" w:color="auto"/>
                                    <w:left w:val="none" w:sz="0" w:space="0" w:color="auto"/>
                                    <w:bottom w:val="none" w:sz="0" w:space="0" w:color="auto"/>
                                    <w:right w:val="none" w:sz="0" w:space="0" w:color="auto"/>
                                  </w:divBdr>
                                </w:div>
                                <w:div w:id="1145661689">
                                  <w:marLeft w:val="0"/>
                                  <w:marRight w:val="0"/>
                                  <w:marTop w:val="0"/>
                                  <w:marBottom w:val="0"/>
                                  <w:divBdr>
                                    <w:top w:val="none" w:sz="0" w:space="0" w:color="auto"/>
                                    <w:left w:val="none" w:sz="0" w:space="0" w:color="auto"/>
                                    <w:bottom w:val="none" w:sz="0" w:space="0" w:color="auto"/>
                                    <w:right w:val="none" w:sz="0" w:space="0" w:color="auto"/>
                                  </w:divBdr>
                                </w:div>
                                <w:div w:id="89548739">
                                  <w:marLeft w:val="0"/>
                                  <w:marRight w:val="0"/>
                                  <w:marTop w:val="0"/>
                                  <w:marBottom w:val="0"/>
                                  <w:divBdr>
                                    <w:top w:val="none" w:sz="0" w:space="0" w:color="auto"/>
                                    <w:left w:val="none" w:sz="0" w:space="0" w:color="auto"/>
                                    <w:bottom w:val="none" w:sz="0" w:space="0" w:color="auto"/>
                                    <w:right w:val="none" w:sz="0" w:space="0" w:color="auto"/>
                                  </w:divBdr>
                                </w:div>
                                <w:div w:id="1530532574">
                                  <w:marLeft w:val="0"/>
                                  <w:marRight w:val="0"/>
                                  <w:marTop w:val="0"/>
                                  <w:marBottom w:val="0"/>
                                  <w:divBdr>
                                    <w:top w:val="none" w:sz="0" w:space="0" w:color="auto"/>
                                    <w:left w:val="none" w:sz="0" w:space="0" w:color="auto"/>
                                    <w:bottom w:val="none" w:sz="0" w:space="0" w:color="auto"/>
                                    <w:right w:val="none" w:sz="0" w:space="0" w:color="auto"/>
                                  </w:divBdr>
                                </w:div>
                                <w:div w:id="1843931153">
                                  <w:marLeft w:val="0"/>
                                  <w:marRight w:val="0"/>
                                  <w:marTop w:val="0"/>
                                  <w:marBottom w:val="0"/>
                                  <w:divBdr>
                                    <w:top w:val="none" w:sz="0" w:space="0" w:color="auto"/>
                                    <w:left w:val="none" w:sz="0" w:space="0" w:color="auto"/>
                                    <w:bottom w:val="none" w:sz="0" w:space="0" w:color="auto"/>
                                    <w:right w:val="none" w:sz="0" w:space="0" w:color="auto"/>
                                  </w:divBdr>
                                </w:div>
                                <w:div w:id="594943209">
                                  <w:marLeft w:val="0"/>
                                  <w:marRight w:val="0"/>
                                  <w:marTop w:val="0"/>
                                  <w:marBottom w:val="0"/>
                                  <w:divBdr>
                                    <w:top w:val="none" w:sz="0" w:space="0" w:color="auto"/>
                                    <w:left w:val="none" w:sz="0" w:space="0" w:color="auto"/>
                                    <w:bottom w:val="none" w:sz="0" w:space="0" w:color="auto"/>
                                    <w:right w:val="none" w:sz="0" w:space="0" w:color="auto"/>
                                  </w:divBdr>
                                </w:div>
                                <w:div w:id="705910398">
                                  <w:marLeft w:val="0"/>
                                  <w:marRight w:val="0"/>
                                  <w:marTop w:val="0"/>
                                  <w:marBottom w:val="0"/>
                                  <w:divBdr>
                                    <w:top w:val="none" w:sz="0" w:space="0" w:color="auto"/>
                                    <w:left w:val="none" w:sz="0" w:space="0" w:color="auto"/>
                                    <w:bottom w:val="none" w:sz="0" w:space="0" w:color="auto"/>
                                    <w:right w:val="none" w:sz="0" w:space="0" w:color="auto"/>
                                  </w:divBdr>
                                </w:div>
                                <w:div w:id="1029184917">
                                  <w:marLeft w:val="0"/>
                                  <w:marRight w:val="0"/>
                                  <w:marTop w:val="0"/>
                                  <w:marBottom w:val="0"/>
                                  <w:divBdr>
                                    <w:top w:val="none" w:sz="0" w:space="0" w:color="auto"/>
                                    <w:left w:val="none" w:sz="0" w:space="0" w:color="auto"/>
                                    <w:bottom w:val="none" w:sz="0" w:space="0" w:color="auto"/>
                                    <w:right w:val="none" w:sz="0" w:space="0" w:color="auto"/>
                                  </w:divBdr>
                                </w:div>
                                <w:div w:id="1839882851">
                                  <w:marLeft w:val="0"/>
                                  <w:marRight w:val="0"/>
                                  <w:marTop w:val="0"/>
                                  <w:marBottom w:val="0"/>
                                  <w:divBdr>
                                    <w:top w:val="none" w:sz="0" w:space="0" w:color="auto"/>
                                    <w:left w:val="none" w:sz="0" w:space="0" w:color="auto"/>
                                    <w:bottom w:val="none" w:sz="0" w:space="0" w:color="auto"/>
                                    <w:right w:val="none" w:sz="0" w:space="0" w:color="auto"/>
                                  </w:divBdr>
                                </w:div>
                                <w:div w:id="588084507">
                                  <w:marLeft w:val="0"/>
                                  <w:marRight w:val="0"/>
                                  <w:marTop w:val="0"/>
                                  <w:marBottom w:val="0"/>
                                  <w:divBdr>
                                    <w:top w:val="none" w:sz="0" w:space="0" w:color="auto"/>
                                    <w:left w:val="none" w:sz="0" w:space="0" w:color="auto"/>
                                    <w:bottom w:val="none" w:sz="0" w:space="0" w:color="auto"/>
                                    <w:right w:val="none" w:sz="0" w:space="0" w:color="auto"/>
                                  </w:divBdr>
                                </w:div>
                                <w:div w:id="1240872334">
                                  <w:marLeft w:val="0"/>
                                  <w:marRight w:val="0"/>
                                  <w:marTop w:val="0"/>
                                  <w:marBottom w:val="0"/>
                                  <w:divBdr>
                                    <w:top w:val="none" w:sz="0" w:space="0" w:color="auto"/>
                                    <w:left w:val="none" w:sz="0" w:space="0" w:color="auto"/>
                                    <w:bottom w:val="none" w:sz="0" w:space="0" w:color="auto"/>
                                    <w:right w:val="none" w:sz="0" w:space="0" w:color="auto"/>
                                  </w:divBdr>
                                </w:div>
                                <w:div w:id="854199204">
                                  <w:marLeft w:val="0"/>
                                  <w:marRight w:val="0"/>
                                  <w:marTop w:val="0"/>
                                  <w:marBottom w:val="0"/>
                                  <w:divBdr>
                                    <w:top w:val="none" w:sz="0" w:space="0" w:color="auto"/>
                                    <w:left w:val="none" w:sz="0" w:space="0" w:color="auto"/>
                                    <w:bottom w:val="none" w:sz="0" w:space="0" w:color="auto"/>
                                    <w:right w:val="none" w:sz="0" w:space="0" w:color="auto"/>
                                  </w:divBdr>
                                </w:div>
                              </w:divsChild>
                            </w:div>
                            <w:div w:id="1029455555">
                              <w:blockQuote w:val="1"/>
                              <w:marLeft w:val="720"/>
                              <w:marRight w:val="720"/>
                              <w:marTop w:val="100"/>
                              <w:marBottom w:val="100"/>
                              <w:divBdr>
                                <w:top w:val="none" w:sz="0" w:space="0" w:color="auto"/>
                                <w:left w:val="none" w:sz="0" w:space="0" w:color="auto"/>
                                <w:bottom w:val="none" w:sz="0" w:space="0" w:color="auto"/>
                                <w:right w:val="none" w:sz="0" w:space="0" w:color="auto"/>
                              </w:divBdr>
                            </w:div>
                            <w:div w:id="171326907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2660429">
                              <w:blockQuote w:val="1"/>
                              <w:marLeft w:val="720"/>
                              <w:marRight w:val="720"/>
                              <w:marTop w:val="100"/>
                              <w:marBottom w:val="100"/>
                              <w:divBdr>
                                <w:top w:val="none" w:sz="0" w:space="0" w:color="auto"/>
                                <w:left w:val="none" w:sz="0" w:space="0" w:color="auto"/>
                                <w:bottom w:val="none" w:sz="0" w:space="0" w:color="auto"/>
                                <w:right w:val="none" w:sz="0" w:space="0" w:color="auto"/>
                              </w:divBdr>
                            </w:div>
                            <w:div w:id="554199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680084694">
                              <w:blockQuote w:val="1"/>
                              <w:marLeft w:val="720"/>
                              <w:marRight w:val="720"/>
                              <w:marTop w:val="100"/>
                              <w:marBottom w:val="100"/>
                              <w:divBdr>
                                <w:top w:val="none" w:sz="0" w:space="0" w:color="auto"/>
                                <w:left w:val="none" w:sz="0" w:space="0" w:color="auto"/>
                                <w:bottom w:val="none" w:sz="0" w:space="0" w:color="auto"/>
                                <w:right w:val="none" w:sz="0" w:space="0" w:color="auto"/>
                              </w:divBdr>
                            </w:div>
                            <w:div w:id="641889496">
                              <w:blockQuote w:val="1"/>
                              <w:marLeft w:val="720"/>
                              <w:marRight w:val="720"/>
                              <w:marTop w:val="100"/>
                              <w:marBottom w:val="100"/>
                              <w:divBdr>
                                <w:top w:val="none" w:sz="0" w:space="0" w:color="auto"/>
                                <w:left w:val="none" w:sz="0" w:space="0" w:color="auto"/>
                                <w:bottom w:val="none" w:sz="0" w:space="0" w:color="auto"/>
                                <w:right w:val="none" w:sz="0" w:space="0" w:color="auto"/>
                              </w:divBdr>
                            </w:div>
                            <w:div w:id="795948173">
                              <w:blockQuote w:val="1"/>
                              <w:marLeft w:val="720"/>
                              <w:marRight w:val="720"/>
                              <w:marTop w:val="100"/>
                              <w:marBottom w:val="100"/>
                              <w:divBdr>
                                <w:top w:val="none" w:sz="0" w:space="0" w:color="auto"/>
                                <w:left w:val="none" w:sz="0" w:space="0" w:color="auto"/>
                                <w:bottom w:val="none" w:sz="0" w:space="0" w:color="auto"/>
                                <w:right w:val="none" w:sz="0" w:space="0" w:color="auto"/>
                              </w:divBdr>
                            </w:div>
                            <w:div w:id="343017334">
                              <w:blockQuote w:val="1"/>
                              <w:marLeft w:val="720"/>
                              <w:marRight w:val="720"/>
                              <w:marTop w:val="100"/>
                              <w:marBottom w:val="100"/>
                              <w:divBdr>
                                <w:top w:val="none" w:sz="0" w:space="0" w:color="auto"/>
                                <w:left w:val="none" w:sz="0" w:space="0" w:color="auto"/>
                                <w:bottom w:val="none" w:sz="0" w:space="0" w:color="auto"/>
                                <w:right w:val="none" w:sz="0" w:space="0" w:color="auto"/>
                              </w:divBdr>
                            </w:div>
                            <w:div w:id="907957269">
                              <w:blockQuote w:val="1"/>
                              <w:marLeft w:val="720"/>
                              <w:marRight w:val="720"/>
                              <w:marTop w:val="100"/>
                              <w:marBottom w:val="100"/>
                              <w:divBdr>
                                <w:top w:val="none" w:sz="0" w:space="0" w:color="auto"/>
                                <w:left w:val="none" w:sz="0" w:space="0" w:color="auto"/>
                                <w:bottom w:val="none" w:sz="0" w:space="0" w:color="auto"/>
                                <w:right w:val="none" w:sz="0" w:space="0" w:color="auto"/>
                              </w:divBdr>
                            </w:div>
                            <w:div w:id="956133614">
                              <w:blockQuote w:val="1"/>
                              <w:marLeft w:val="720"/>
                              <w:marRight w:val="720"/>
                              <w:marTop w:val="100"/>
                              <w:marBottom w:val="100"/>
                              <w:divBdr>
                                <w:top w:val="none" w:sz="0" w:space="0" w:color="auto"/>
                                <w:left w:val="none" w:sz="0" w:space="0" w:color="auto"/>
                                <w:bottom w:val="none" w:sz="0" w:space="0" w:color="auto"/>
                                <w:right w:val="none" w:sz="0" w:space="0" w:color="auto"/>
                              </w:divBdr>
                            </w:div>
                            <w:div w:id="2128117503">
                              <w:blockQuote w:val="1"/>
                              <w:marLeft w:val="720"/>
                              <w:marRight w:val="720"/>
                              <w:marTop w:val="100"/>
                              <w:marBottom w:val="100"/>
                              <w:divBdr>
                                <w:top w:val="none" w:sz="0" w:space="0" w:color="auto"/>
                                <w:left w:val="none" w:sz="0" w:space="0" w:color="auto"/>
                                <w:bottom w:val="none" w:sz="0" w:space="0" w:color="auto"/>
                                <w:right w:val="none" w:sz="0" w:space="0" w:color="auto"/>
                              </w:divBdr>
                            </w:div>
                            <w:div w:id="1682467587">
                              <w:blockQuote w:val="1"/>
                              <w:marLeft w:val="720"/>
                              <w:marRight w:val="720"/>
                              <w:marTop w:val="100"/>
                              <w:marBottom w:val="100"/>
                              <w:divBdr>
                                <w:top w:val="none" w:sz="0" w:space="0" w:color="auto"/>
                                <w:left w:val="none" w:sz="0" w:space="0" w:color="auto"/>
                                <w:bottom w:val="none" w:sz="0" w:space="0" w:color="auto"/>
                                <w:right w:val="none" w:sz="0" w:space="0" w:color="auto"/>
                              </w:divBdr>
                            </w:div>
                            <w:div w:id="95827135">
                              <w:blockQuote w:val="1"/>
                              <w:marLeft w:val="720"/>
                              <w:marRight w:val="720"/>
                              <w:marTop w:val="100"/>
                              <w:marBottom w:val="100"/>
                              <w:divBdr>
                                <w:top w:val="none" w:sz="0" w:space="0" w:color="auto"/>
                                <w:left w:val="none" w:sz="0" w:space="0" w:color="auto"/>
                                <w:bottom w:val="none" w:sz="0" w:space="0" w:color="auto"/>
                                <w:right w:val="none" w:sz="0" w:space="0" w:color="auto"/>
                              </w:divBdr>
                            </w:div>
                            <w:div w:id="19065220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60917062">
                                  <w:marLeft w:val="0"/>
                                  <w:marRight w:val="0"/>
                                  <w:marTop w:val="0"/>
                                  <w:marBottom w:val="0"/>
                                  <w:divBdr>
                                    <w:top w:val="none" w:sz="0" w:space="0" w:color="auto"/>
                                    <w:left w:val="none" w:sz="0" w:space="0" w:color="auto"/>
                                    <w:bottom w:val="none" w:sz="0" w:space="0" w:color="auto"/>
                                    <w:right w:val="none" w:sz="0" w:space="0" w:color="auto"/>
                                  </w:divBdr>
                                </w:div>
                                <w:div w:id="1943223948">
                                  <w:marLeft w:val="0"/>
                                  <w:marRight w:val="0"/>
                                  <w:marTop w:val="0"/>
                                  <w:marBottom w:val="0"/>
                                  <w:divBdr>
                                    <w:top w:val="none" w:sz="0" w:space="0" w:color="auto"/>
                                    <w:left w:val="none" w:sz="0" w:space="0" w:color="auto"/>
                                    <w:bottom w:val="none" w:sz="0" w:space="0" w:color="auto"/>
                                    <w:right w:val="none" w:sz="0" w:space="0" w:color="auto"/>
                                  </w:divBdr>
                                </w:div>
                              </w:divsChild>
                            </w:div>
                            <w:div w:id="1281689821">
                              <w:blockQuote w:val="1"/>
                              <w:marLeft w:val="720"/>
                              <w:marRight w:val="720"/>
                              <w:marTop w:val="100"/>
                              <w:marBottom w:val="100"/>
                              <w:divBdr>
                                <w:top w:val="none" w:sz="0" w:space="0" w:color="auto"/>
                                <w:left w:val="none" w:sz="0" w:space="0" w:color="auto"/>
                                <w:bottom w:val="none" w:sz="0" w:space="0" w:color="auto"/>
                                <w:right w:val="none" w:sz="0" w:space="0" w:color="auto"/>
                              </w:divBdr>
                            </w:div>
                            <w:div w:id="5482975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19442628">
                              <w:blockQuote w:val="1"/>
                              <w:marLeft w:val="720"/>
                              <w:marRight w:val="720"/>
                              <w:marTop w:val="100"/>
                              <w:marBottom w:val="100"/>
                              <w:divBdr>
                                <w:top w:val="none" w:sz="0" w:space="0" w:color="auto"/>
                                <w:left w:val="none" w:sz="0" w:space="0" w:color="auto"/>
                                <w:bottom w:val="none" w:sz="0" w:space="0" w:color="auto"/>
                                <w:right w:val="none" w:sz="0" w:space="0" w:color="auto"/>
                              </w:divBdr>
                            </w:div>
                            <w:div w:id="6884508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8547833">
                              <w:blockQuote w:val="1"/>
                              <w:marLeft w:val="720"/>
                              <w:marRight w:val="720"/>
                              <w:marTop w:val="100"/>
                              <w:marBottom w:val="100"/>
                              <w:divBdr>
                                <w:top w:val="none" w:sz="0" w:space="0" w:color="auto"/>
                                <w:left w:val="none" w:sz="0" w:space="0" w:color="auto"/>
                                <w:bottom w:val="none" w:sz="0" w:space="0" w:color="auto"/>
                                <w:right w:val="none" w:sz="0" w:space="0" w:color="auto"/>
                              </w:divBdr>
                            </w:div>
                            <w:div w:id="820997964">
                              <w:blockQuote w:val="1"/>
                              <w:marLeft w:val="720"/>
                              <w:marRight w:val="720"/>
                              <w:marTop w:val="100"/>
                              <w:marBottom w:val="100"/>
                              <w:divBdr>
                                <w:top w:val="none" w:sz="0" w:space="0" w:color="auto"/>
                                <w:left w:val="none" w:sz="0" w:space="0" w:color="auto"/>
                                <w:bottom w:val="none" w:sz="0" w:space="0" w:color="auto"/>
                                <w:right w:val="none" w:sz="0" w:space="0" w:color="auto"/>
                              </w:divBdr>
                            </w:div>
                            <w:div w:id="1912812034">
                              <w:blockQuote w:val="1"/>
                              <w:marLeft w:val="720"/>
                              <w:marRight w:val="720"/>
                              <w:marTop w:val="100"/>
                              <w:marBottom w:val="100"/>
                              <w:divBdr>
                                <w:top w:val="none" w:sz="0" w:space="0" w:color="auto"/>
                                <w:left w:val="none" w:sz="0" w:space="0" w:color="auto"/>
                                <w:bottom w:val="none" w:sz="0" w:space="0" w:color="auto"/>
                                <w:right w:val="none" w:sz="0" w:space="0" w:color="auto"/>
                              </w:divBdr>
                            </w:div>
                            <w:div w:id="20406622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60796105">
                                  <w:marLeft w:val="0"/>
                                  <w:marRight w:val="0"/>
                                  <w:marTop w:val="0"/>
                                  <w:marBottom w:val="0"/>
                                  <w:divBdr>
                                    <w:top w:val="none" w:sz="0" w:space="0" w:color="auto"/>
                                    <w:left w:val="none" w:sz="0" w:space="0" w:color="auto"/>
                                    <w:bottom w:val="none" w:sz="0" w:space="0" w:color="auto"/>
                                    <w:right w:val="none" w:sz="0" w:space="0" w:color="auto"/>
                                  </w:divBdr>
                                </w:div>
                                <w:div w:id="1019818272">
                                  <w:marLeft w:val="0"/>
                                  <w:marRight w:val="0"/>
                                  <w:marTop w:val="0"/>
                                  <w:marBottom w:val="0"/>
                                  <w:divBdr>
                                    <w:top w:val="none" w:sz="0" w:space="0" w:color="auto"/>
                                    <w:left w:val="none" w:sz="0" w:space="0" w:color="auto"/>
                                    <w:bottom w:val="none" w:sz="0" w:space="0" w:color="auto"/>
                                    <w:right w:val="none" w:sz="0" w:space="0" w:color="auto"/>
                                  </w:divBdr>
                                </w:div>
                                <w:div w:id="1067268862">
                                  <w:marLeft w:val="0"/>
                                  <w:marRight w:val="0"/>
                                  <w:marTop w:val="0"/>
                                  <w:marBottom w:val="0"/>
                                  <w:divBdr>
                                    <w:top w:val="none" w:sz="0" w:space="0" w:color="auto"/>
                                    <w:left w:val="none" w:sz="0" w:space="0" w:color="auto"/>
                                    <w:bottom w:val="none" w:sz="0" w:space="0" w:color="auto"/>
                                    <w:right w:val="none" w:sz="0" w:space="0" w:color="auto"/>
                                  </w:divBdr>
                                </w:div>
                                <w:div w:id="1299649906">
                                  <w:marLeft w:val="0"/>
                                  <w:marRight w:val="0"/>
                                  <w:marTop w:val="0"/>
                                  <w:marBottom w:val="0"/>
                                  <w:divBdr>
                                    <w:top w:val="none" w:sz="0" w:space="0" w:color="auto"/>
                                    <w:left w:val="none" w:sz="0" w:space="0" w:color="auto"/>
                                    <w:bottom w:val="none" w:sz="0" w:space="0" w:color="auto"/>
                                    <w:right w:val="none" w:sz="0" w:space="0" w:color="auto"/>
                                  </w:divBdr>
                                </w:div>
                                <w:div w:id="1005210167">
                                  <w:marLeft w:val="0"/>
                                  <w:marRight w:val="0"/>
                                  <w:marTop w:val="0"/>
                                  <w:marBottom w:val="0"/>
                                  <w:divBdr>
                                    <w:top w:val="none" w:sz="0" w:space="0" w:color="auto"/>
                                    <w:left w:val="none" w:sz="0" w:space="0" w:color="auto"/>
                                    <w:bottom w:val="none" w:sz="0" w:space="0" w:color="auto"/>
                                    <w:right w:val="none" w:sz="0" w:space="0" w:color="auto"/>
                                  </w:divBdr>
                                </w:div>
                                <w:div w:id="1107769330">
                                  <w:marLeft w:val="0"/>
                                  <w:marRight w:val="0"/>
                                  <w:marTop w:val="0"/>
                                  <w:marBottom w:val="0"/>
                                  <w:divBdr>
                                    <w:top w:val="none" w:sz="0" w:space="0" w:color="auto"/>
                                    <w:left w:val="none" w:sz="0" w:space="0" w:color="auto"/>
                                    <w:bottom w:val="none" w:sz="0" w:space="0" w:color="auto"/>
                                    <w:right w:val="none" w:sz="0" w:space="0" w:color="auto"/>
                                  </w:divBdr>
                                </w:div>
                                <w:div w:id="1171287951">
                                  <w:marLeft w:val="0"/>
                                  <w:marRight w:val="0"/>
                                  <w:marTop w:val="0"/>
                                  <w:marBottom w:val="0"/>
                                  <w:divBdr>
                                    <w:top w:val="none" w:sz="0" w:space="0" w:color="auto"/>
                                    <w:left w:val="none" w:sz="0" w:space="0" w:color="auto"/>
                                    <w:bottom w:val="none" w:sz="0" w:space="0" w:color="auto"/>
                                    <w:right w:val="none" w:sz="0" w:space="0" w:color="auto"/>
                                  </w:divBdr>
                                </w:div>
                                <w:div w:id="2071347131">
                                  <w:marLeft w:val="0"/>
                                  <w:marRight w:val="0"/>
                                  <w:marTop w:val="0"/>
                                  <w:marBottom w:val="0"/>
                                  <w:divBdr>
                                    <w:top w:val="none" w:sz="0" w:space="0" w:color="auto"/>
                                    <w:left w:val="none" w:sz="0" w:space="0" w:color="auto"/>
                                    <w:bottom w:val="none" w:sz="0" w:space="0" w:color="auto"/>
                                    <w:right w:val="none" w:sz="0" w:space="0" w:color="auto"/>
                                  </w:divBdr>
                                </w:div>
                                <w:div w:id="2141070260">
                                  <w:marLeft w:val="0"/>
                                  <w:marRight w:val="0"/>
                                  <w:marTop w:val="0"/>
                                  <w:marBottom w:val="0"/>
                                  <w:divBdr>
                                    <w:top w:val="none" w:sz="0" w:space="0" w:color="auto"/>
                                    <w:left w:val="none" w:sz="0" w:space="0" w:color="auto"/>
                                    <w:bottom w:val="none" w:sz="0" w:space="0" w:color="auto"/>
                                    <w:right w:val="none" w:sz="0" w:space="0" w:color="auto"/>
                                  </w:divBdr>
                                </w:div>
                                <w:div w:id="1101410344">
                                  <w:marLeft w:val="0"/>
                                  <w:marRight w:val="0"/>
                                  <w:marTop w:val="0"/>
                                  <w:marBottom w:val="0"/>
                                  <w:divBdr>
                                    <w:top w:val="none" w:sz="0" w:space="0" w:color="auto"/>
                                    <w:left w:val="none" w:sz="0" w:space="0" w:color="auto"/>
                                    <w:bottom w:val="none" w:sz="0" w:space="0" w:color="auto"/>
                                    <w:right w:val="none" w:sz="0" w:space="0" w:color="auto"/>
                                  </w:divBdr>
                                </w:div>
                                <w:div w:id="232980729">
                                  <w:marLeft w:val="0"/>
                                  <w:marRight w:val="0"/>
                                  <w:marTop w:val="0"/>
                                  <w:marBottom w:val="0"/>
                                  <w:divBdr>
                                    <w:top w:val="none" w:sz="0" w:space="0" w:color="auto"/>
                                    <w:left w:val="none" w:sz="0" w:space="0" w:color="auto"/>
                                    <w:bottom w:val="none" w:sz="0" w:space="0" w:color="auto"/>
                                    <w:right w:val="none" w:sz="0" w:space="0" w:color="auto"/>
                                  </w:divBdr>
                                </w:div>
                                <w:div w:id="1800953409">
                                  <w:marLeft w:val="0"/>
                                  <w:marRight w:val="0"/>
                                  <w:marTop w:val="0"/>
                                  <w:marBottom w:val="0"/>
                                  <w:divBdr>
                                    <w:top w:val="none" w:sz="0" w:space="0" w:color="auto"/>
                                    <w:left w:val="none" w:sz="0" w:space="0" w:color="auto"/>
                                    <w:bottom w:val="none" w:sz="0" w:space="0" w:color="auto"/>
                                    <w:right w:val="none" w:sz="0" w:space="0" w:color="auto"/>
                                  </w:divBdr>
                                </w:div>
                                <w:div w:id="1967083018">
                                  <w:marLeft w:val="0"/>
                                  <w:marRight w:val="0"/>
                                  <w:marTop w:val="0"/>
                                  <w:marBottom w:val="0"/>
                                  <w:divBdr>
                                    <w:top w:val="none" w:sz="0" w:space="0" w:color="auto"/>
                                    <w:left w:val="none" w:sz="0" w:space="0" w:color="auto"/>
                                    <w:bottom w:val="none" w:sz="0" w:space="0" w:color="auto"/>
                                    <w:right w:val="none" w:sz="0" w:space="0" w:color="auto"/>
                                  </w:divBdr>
                                </w:div>
                                <w:div w:id="102500386">
                                  <w:marLeft w:val="0"/>
                                  <w:marRight w:val="0"/>
                                  <w:marTop w:val="0"/>
                                  <w:marBottom w:val="0"/>
                                  <w:divBdr>
                                    <w:top w:val="none" w:sz="0" w:space="0" w:color="auto"/>
                                    <w:left w:val="none" w:sz="0" w:space="0" w:color="auto"/>
                                    <w:bottom w:val="none" w:sz="0" w:space="0" w:color="auto"/>
                                    <w:right w:val="none" w:sz="0" w:space="0" w:color="auto"/>
                                  </w:divBdr>
                                </w:div>
                                <w:div w:id="426079690">
                                  <w:marLeft w:val="0"/>
                                  <w:marRight w:val="0"/>
                                  <w:marTop w:val="0"/>
                                  <w:marBottom w:val="0"/>
                                  <w:divBdr>
                                    <w:top w:val="none" w:sz="0" w:space="0" w:color="auto"/>
                                    <w:left w:val="none" w:sz="0" w:space="0" w:color="auto"/>
                                    <w:bottom w:val="none" w:sz="0" w:space="0" w:color="auto"/>
                                    <w:right w:val="none" w:sz="0" w:space="0" w:color="auto"/>
                                  </w:divBdr>
                                </w:div>
                                <w:div w:id="1600914648">
                                  <w:marLeft w:val="0"/>
                                  <w:marRight w:val="0"/>
                                  <w:marTop w:val="0"/>
                                  <w:marBottom w:val="0"/>
                                  <w:divBdr>
                                    <w:top w:val="none" w:sz="0" w:space="0" w:color="auto"/>
                                    <w:left w:val="none" w:sz="0" w:space="0" w:color="auto"/>
                                    <w:bottom w:val="none" w:sz="0" w:space="0" w:color="auto"/>
                                    <w:right w:val="none" w:sz="0" w:space="0" w:color="auto"/>
                                  </w:divBdr>
                                </w:div>
                                <w:div w:id="1516311884">
                                  <w:marLeft w:val="0"/>
                                  <w:marRight w:val="0"/>
                                  <w:marTop w:val="0"/>
                                  <w:marBottom w:val="0"/>
                                  <w:divBdr>
                                    <w:top w:val="none" w:sz="0" w:space="0" w:color="auto"/>
                                    <w:left w:val="none" w:sz="0" w:space="0" w:color="auto"/>
                                    <w:bottom w:val="none" w:sz="0" w:space="0" w:color="auto"/>
                                    <w:right w:val="none" w:sz="0" w:space="0" w:color="auto"/>
                                  </w:divBdr>
                                </w:div>
                                <w:div w:id="389691371">
                                  <w:marLeft w:val="0"/>
                                  <w:marRight w:val="0"/>
                                  <w:marTop w:val="0"/>
                                  <w:marBottom w:val="0"/>
                                  <w:divBdr>
                                    <w:top w:val="none" w:sz="0" w:space="0" w:color="auto"/>
                                    <w:left w:val="none" w:sz="0" w:space="0" w:color="auto"/>
                                    <w:bottom w:val="none" w:sz="0" w:space="0" w:color="auto"/>
                                    <w:right w:val="none" w:sz="0" w:space="0" w:color="auto"/>
                                  </w:divBdr>
                                </w:div>
                                <w:div w:id="1077555115">
                                  <w:marLeft w:val="0"/>
                                  <w:marRight w:val="0"/>
                                  <w:marTop w:val="0"/>
                                  <w:marBottom w:val="0"/>
                                  <w:divBdr>
                                    <w:top w:val="none" w:sz="0" w:space="0" w:color="auto"/>
                                    <w:left w:val="none" w:sz="0" w:space="0" w:color="auto"/>
                                    <w:bottom w:val="none" w:sz="0" w:space="0" w:color="auto"/>
                                    <w:right w:val="none" w:sz="0" w:space="0" w:color="auto"/>
                                  </w:divBdr>
                                </w:div>
                                <w:div w:id="1022363571">
                                  <w:marLeft w:val="0"/>
                                  <w:marRight w:val="0"/>
                                  <w:marTop w:val="0"/>
                                  <w:marBottom w:val="0"/>
                                  <w:divBdr>
                                    <w:top w:val="none" w:sz="0" w:space="0" w:color="auto"/>
                                    <w:left w:val="none" w:sz="0" w:space="0" w:color="auto"/>
                                    <w:bottom w:val="none" w:sz="0" w:space="0" w:color="auto"/>
                                    <w:right w:val="none" w:sz="0" w:space="0" w:color="auto"/>
                                  </w:divBdr>
                                </w:div>
                                <w:div w:id="1847133581">
                                  <w:marLeft w:val="0"/>
                                  <w:marRight w:val="0"/>
                                  <w:marTop w:val="0"/>
                                  <w:marBottom w:val="0"/>
                                  <w:divBdr>
                                    <w:top w:val="none" w:sz="0" w:space="0" w:color="auto"/>
                                    <w:left w:val="none" w:sz="0" w:space="0" w:color="auto"/>
                                    <w:bottom w:val="none" w:sz="0" w:space="0" w:color="auto"/>
                                    <w:right w:val="none" w:sz="0" w:space="0" w:color="auto"/>
                                  </w:divBdr>
                                </w:div>
                                <w:div w:id="2117476642">
                                  <w:marLeft w:val="0"/>
                                  <w:marRight w:val="0"/>
                                  <w:marTop w:val="0"/>
                                  <w:marBottom w:val="0"/>
                                  <w:divBdr>
                                    <w:top w:val="none" w:sz="0" w:space="0" w:color="auto"/>
                                    <w:left w:val="none" w:sz="0" w:space="0" w:color="auto"/>
                                    <w:bottom w:val="none" w:sz="0" w:space="0" w:color="auto"/>
                                    <w:right w:val="none" w:sz="0" w:space="0" w:color="auto"/>
                                  </w:divBdr>
                                </w:div>
                                <w:div w:id="477575922">
                                  <w:marLeft w:val="0"/>
                                  <w:marRight w:val="0"/>
                                  <w:marTop w:val="0"/>
                                  <w:marBottom w:val="0"/>
                                  <w:divBdr>
                                    <w:top w:val="none" w:sz="0" w:space="0" w:color="auto"/>
                                    <w:left w:val="none" w:sz="0" w:space="0" w:color="auto"/>
                                    <w:bottom w:val="none" w:sz="0" w:space="0" w:color="auto"/>
                                    <w:right w:val="none" w:sz="0" w:space="0" w:color="auto"/>
                                  </w:divBdr>
                                </w:div>
                                <w:div w:id="1710690258">
                                  <w:marLeft w:val="0"/>
                                  <w:marRight w:val="0"/>
                                  <w:marTop w:val="0"/>
                                  <w:marBottom w:val="0"/>
                                  <w:divBdr>
                                    <w:top w:val="none" w:sz="0" w:space="0" w:color="auto"/>
                                    <w:left w:val="none" w:sz="0" w:space="0" w:color="auto"/>
                                    <w:bottom w:val="none" w:sz="0" w:space="0" w:color="auto"/>
                                    <w:right w:val="none" w:sz="0" w:space="0" w:color="auto"/>
                                  </w:divBdr>
                                </w:div>
                                <w:div w:id="32074530">
                                  <w:marLeft w:val="0"/>
                                  <w:marRight w:val="0"/>
                                  <w:marTop w:val="0"/>
                                  <w:marBottom w:val="0"/>
                                  <w:divBdr>
                                    <w:top w:val="none" w:sz="0" w:space="0" w:color="auto"/>
                                    <w:left w:val="none" w:sz="0" w:space="0" w:color="auto"/>
                                    <w:bottom w:val="none" w:sz="0" w:space="0" w:color="auto"/>
                                    <w:right w:val="none" w:sz="0" w:space="0" w:color="auto"/>
                                  </w:divBdr>
                                </w:div>
                                <w:div w:id="316420797">
                                  <w:marLeft w:val="0"/>
                                  <w:marRight w:val="0"/>
                                  <w:marTop w:val="0"/>
                                  <w:marBottom w:val="0"/>
                                  <w:divBdr>
                                    <w:top w:val="none" w:sz="0" w:space="0" w:color="auto"/>
                                    <w:left w:val="none" w:sz="0" w:space="0" w:color="auto"/>
                                    <w:bottom w:val="none" w:sz="0" w:space="0" w:color="auto"/>
                                    <w:right w:val="none" w:sz="0" w:space="0" w:color="auto"/>
                                  </w:divBdr>
                                </w:div>
                                <w:div w:id="418408800">
                                  <w:marLeft w:val="0"/>
                                  <w:marRight w:val="0"/>
                                  <w:marTop w:val="0"/>
                                  <w:marBottom w:val="0"/>
                                  <w:divBdr>
                                    <w:top w:val="none" w:sz="0" w:space="0" w:color="auto"/>
                                    <w:left w:val="none" w:sz="0" w:space="0" w:color="auto"/>
                                    <w:bottom w:val="none" w:sz="0" w:space="0" w:color="auto"/>
                                    <w:right w:val="none" w:sz="0" w:space="0" w:color="auto"/>
                                  </w:divBdr>
                                </w:div>
                                <w:div w:id="826870464">
                                  <w:marLeft w:val="0"/>
                                  <w:marRight w:val="0"/>
                                  <w:marTop w:val="0"/>
                                  <w:marBottom w:val="0"/>
                                  <w:divBdr>
                                    <w:top w:val="none" w:sz="0" w:space="0" w:color="auto"/>
                                    <w:left w:val="none" w:sz="0" w:space="0" w:color="auto"/>
                                    <w:bottom w:val="none" w:sz="0" w:space="0" w:color="auto"/>
                                    <w:right w:val="none" w:sz="0" w:space="0" w:color="auto"/>
                                  </w:divBdr>
                                </w:div>
                                <w:div w:id="1854298885">
                                  <w:marLeft w:val="0"/>
                                  <w:marRight w:val="0"/>
                                  <w:marTop w:val="0"/>
                                  <w:marBottom w:val="0"/>
                                  <w:divBdr>
                                    <w:top w:val="none" w:sz="0" w:space="0" w:color="auto"/>
                                    <w:left w:val="none" w:sz="0" w:space="0" w:color="auto"/>
                                    <w:bottom w:val="none" w:sz="0" w:space="0" w:color="auto"/>
                                    <w:right w:val="none" w:sz="0" w:space="0" w:color="auto"/>
                                  </w:divBdr>
                                </w:div>
                                <w:div w:id="2086296938">
                                  <w:marLeft w:val="0"/>
                                  <w:marRight w:val="0"/>
                                  <w:marTop w:val="0"/>
                                  <w:marBottom w:val="0"/>
                                  <w:divBdr>
                                    <w:top w:val="none" w:sz="0" w:space="0" w:color="auto"/>
                                    <w:left w:val="none" w:sz="0" w:space="0" w:color="auto"/>
                                    <w:bottom w:val="none" w:sz="0" w:space="0" w:color="auto"/>
                                    <w:right w:val="none" w:sz="0" w:space="0" w:color="auto"/>
                                  </w:divBdr>
                                </w:div>
                                <w:div w:id="1092700967">
                                  <w:marLeft w:val="0"/>
                                  <w:marRight w:val="0"/>
                                  <w:marTop w:val="0"/>
                                  <w:marBottom w:val="0"/>
                                  <w:divBdr>
                                    <w:top w:val="none" w:sz="0" w:space="0" w:color="auto"/>
                                    <w:left w:val="none" w:sz="0" w:space="0" w:color="auto"/>
                                    <w:bottom w:val="none" w:sz="0" w:space="0" w:color="auto"/>
                                    <w:right w:val="none" w:sz="0" w:space="0" w:color="auto"/>
                                  </w:divBdr>
                                </w:div>
                                <w:div w:id="1007631089">
                                  <w:marLeft w:val="0"/>
                                  <w:marRight w:val="0"/>
                                  <w:marTop w:val="0"/>
                                  <w:marBottom w:val="0"/>
                                  <w:divBdr>
                                    <w:top w:val="none" w:sz="0" w:space="0" w:color="auto"/>
                                    <w:left w:val="none" w:sz="0" w:space="0" w:color="auto"/>
                                    <w:bottom w:val="none" w:sz="0" w:space="0" w:color="auto"/>
                                    <w:right w:val="none" w:sz="0" w:space="0" w:color="auto"/>
                                  </w:divBdr>
                                </w:div>
                                <w:div w:id="1033388669">
                                  <w:marLeft w:val="0"/>
                                  <w:marRight w:val="0"/>
                                  <w:marTop w:val="0"/>
                                  <w:marBottom w:val="0"/>
                                  <w:divBdr>
                                    <w:top w:val="none" w:sz="0" w:space="0" w:color="auto"/>
                                    <w:left w:val="none" w:sz="0" w:space="0" w:color="auto"/>
                                    <w:bottom w:val="none" w:sz="0" w:space="0" w:color="auto"/>
                                    <w:right w:val="none" w:sz="0" w:space="0" w:color="auto"/>
                                  </w:divBdr>
                                </w:div>
                                <w:div w:id="1474054700">
                                  <w:marLeft w:val="0"/>
                                  <w:marRight w:val="0"/>
                                  <w:marTop w:val="0"/>
                                  <w:marBottom w:val="0"/>
                                  <w:divBdr>
                                    <w:top w:val="none" w:sz="0" w:space="0" w:color="auto"/>
                                    <w:left w:val="none" w:sz="0" w:space="0" w:color="auto"/>
                                    <w:bottom w:val="none" w:sz="0" w:space="0" w:color="auto"/>
                                    <w:right w:val="none" w:sz="0" w:space="0" w:color="auto"/>
                                  </w:divBdr>
                                </w:div>
                                <w:div w:id="712653560">
                                  <w:marLeft w:val="0"/>
                                  <w:marRight w:val="0"/>
                                  <w:marTop w:val="0"/>
                                  <w:marBottom w:val="0"/>
                                  <w:divBdr>
                                    <w:top w:val="none" w:sz="0" w:space="0" w:color="auto"/>
                                    <w:left w:val="none" w:sz="0" w:space="0" w:color="auto"/>
                                    <w:bottom w:val="none" w:sz="0" w:space="0" w:color="auto"/>
                                    <w:right w:val="none" w:sz="0" w:space="0" w:color="auto"/>
                                  </w:divBdr>
                                </w:div>
                                <w:div w:id="1238631448">
                                  <w:marLeft w:val="0"/>
                                  <w:marRight w:val="0"/>
                                  <w:marTop w:val="0"/>
                                  <w:marBottom w:val="0"/>
                                  <w:divBdr>
                                    <w:top w:val="none" w:sz="0" w:space="0" w:color="auto"/>
                                    <w:left w:val="none" w:sz="0" w:space="0" w:color="auto"/>
                                    <w:bottom w:val="none" w:sz="0" w:space="0" w:color="auto"/>
                                    <w:right w:val="none" w:sz="0" w:space="0" w:color="auto"/>
                                  </w:divBdr>
                                </w:div>
                                <w:div w:id="593169496">
                                  <w:marLeft w:val="0"/>
                                  <w:marRight w:val="0"/>
                                  <w:marTop w:val="0"/>
                                  <w:marBottom w:val="0"/>
                                  <w:divBdr>
                                    <w:top w:val="none" w:sz="0" w:space="0" w:color="auto"/>
                                    <w:left w:val="none" w:sz="0" w:space="0" w:color="auto"/>
                                    <w:bottom w:val="none" w:sz="0" w:space="0" w:color="auto"/>
                                    <w:right w:val="none" w:sz="0" w:space="0" w:color="auto"/>
                                  </w:divBdr>
                                </w:div>
                                <w:div w:id="295720089">
                                  <w:marLeft w:val="0"/>
                                  <w:marRight w:val="0"/>
                                  <w:marTop w:val="0"/>
                                  <w:marBottom w:val="0"/>
                                  <w:divBdr>
                                    <w:top w:val="none" w:sz="0" w:space="0" w:color="auto"/>
                                    <w:left w:val="none" w:sz="0" w:space="0" w:color="auto"/>
                                    <w:bottom w:val="none" w:sz="0" w:space="0" w:color="auto"/>
                                    <w:right w:val="none" w:sz="0" w:space="0" w:color="auto"/>
                                  </w:divBdr>
                                </w:div>
                                <w:div w:id="411633474">
                                  <w:marLeft w:val="0"/>
                                  <w:marRight w:val="0"/>
                                  <w:marTop w:val="0"/>
                                  <w:marBottom w:val="0"/>
                                  <w:divBdr>
                                    <w:top w:val="none" w:sz="0" w:space="0" w:color="auto"/>
                                    <w:left w:val="none" w:sz="0" w:space="0" w:color="auto"/>
                                    <w:bottom w:val="none" w:sz="0" w:space="0" w:color="auto"/>
                                    <w:right w:val="none" w:sz="0" w:space="0" w:color="auto"/>
                                  </w:divBdr>
                                </w:div>
                                <w:div w:id="1997682021">
                                  <w:marLeft w:val="0"/>
                                  <w:marRight w:val="0"/>
                                  <w:marTop w:val="0"/>
                                  <w:marBottom w:val="0"/>
                                  <w:divBdr>
                                    <w:top w:val="none" w:sz="0" w:space="0" w:color="auto"/>
                                    <w:left w:val="none" w:sz="0" w:space="0" w:color="auto"/>
                                    <w:bottom w:val="none" w:sz="0" w:space="0" w:color="auto"/>
                                    <w:right w:val="none" w:sz="0" w:space="0" w:color="auto"/>
                                  </w:divBdr>
                                </w:div>
                                <w:div w:id="1870413041">
                                  <w:marLeft w:val="0"/>
                                  <w:marRight w:val="0"/>
                                  <w:marTop w:val="0"/>
                                  <w:marBottom w:val="0"/>
                                  <w:divBdr>
                                    <w:top w:val="none" w:sz="0" w:space="0" w:color="auto"/>
                                    <w:left w:val="none" w:sz="0" w:space="0" w:color="auto"/>
                                    <w:bottom w:val="none" w:sz="0" w:space="0" w:color="auto"/>
                                    <w:right w:val="none" w:sz="0" w:space="0" w:color="auto"/>
                                  </w:divBdr>
                                </w:div>
                                <w:div w:id="236866957">
                                  <w:marLeft w:val="0"/>
                                  <w:marRight w:val="0"/>
                                  <w:marTop w:val="0"/>
                                  <w:marBottom w:val="0"/>
                                  <w:divBdr>
                                    <w:top w:val="none" w:sz="0" w:space="0" w:color="auto"/>
                                    <w:left w:val="none" w:sz="0" w:space="0" w:color="auto"/>
                                    <w:bottom w:val="none" w:sz="0" w:space="0" w:color="auto"/>
                                    <w:right w:val="none" w:sz="0" w:space="0" w:color="auto"/>
                                  </w:divBdr>
                                </w:div>
                                <w:div w:id="737021284">
                                  <w:marLeft w:val="0"/>
                                  <w:marRight w:val="0"/>
                                  <w:marTop w:val="0"/>
                                  <w:marBottom w:val="0"/>
                                  <w:divBdr>
                                    <w:top w:val="none" w:sz="0" w:space="0" w:color="auto"/>
                                    <w:left w:val="none" w:sz="0" w:space="0" w:color="auto"/>
                                    <w:bottom w:val="none" w:sz="0" w:space="0" w:color="auto"/>
                                    <w:right w:val="none" w:sz="0" w:space="0" w:color="auto"/>
                                  </w:divBdr>
                                </w:div>
                                <w:div w:id="1415741245">
                                  <w:marLeft w:val="0"/>
                                  <w:marRight w:val="0"/>
                                  <w:marTop w:val="0"/>
                                  <w:marBottom w:val="0"/>
                                  <w:divBdr>
                                    <w:top w:val="none" w:sz="0" w:space="0" w:color="auto"/>
                                    <w:left w:val="none" w:sz="0" w:space="0" w:color="auto"/>
                                    <w:bottom w:val="none" w:sz="0" w:space="0" w:color="auto"/>
                                    <w:right w:val="none" w:sz="0" w:space="0" w:color="auto"/>
                                  </w:divBdr>
                                </w:div>
                                <w:div w:id="3287763">
                                  <w:marLeft w:val="0"/>
                                  <w:marRight w:val="0"/>
                                  <w:marTop w:val="0"/>
                                  <w:marBottom w:val="0"/>
                                  <w:divBdr>
                                    <w:top w:val="none" w:sz="0" w:space="0" w:color="auto"/>
                                    <w:left w:val="none" w:sz="0" w:space="0" w:color="auto"/>
                                    <w:bottom w:val="none" w:sz="0" w:space="0" w:color="auto"/>
                                    <w:right w:val="none" w:sz="0" w:space="0" w:color="auto"/>
                                  </w:divBdr>
                                </w:div>
                                <w:div w:id="140781039">
                                  <w:marLeft w:val="0"/>
                                  <w:marRight w:val="0"/>
                                  <w:marTop w:val="0"/>
                                  <w:marBottom w:val="0"/>
                                  <w:divBdr>
                                    <w:top w:val="none" w:sz="0" w:space="0" w:color="auto"/>
                                    <w:left w:val="none" w:sz="0" w:space="0" w:color="auto"/>
                                    <w:bottom w:val="none" w:sz="0" w:space="0" w:color="auto"/>
                                    <w:right w:val="none" w:sz="0" w:space="0" w:color="auto"/>
                                  </w:divBdr>
                                </w:div>
                                <w:div w:id="1736197075">
                                  <w:marLeft w:val="0"/>
                                  <w:marRight w:val="0"/>
                                  <w:marTop w:val="0"/>
                                  <w:marBottom w:val="0"/>
                                  <w:divBdr>
                                    <w:top w:val="none" w:sz="0" w:space="0" w:color="auto"/>
                                    <w:left w:val="none" w:sz="0" w:space="0" w:color="auto"/>
                                    <w:bottom w:val="none" w:sz="0" w:space="0" w:color="auto"/>
                                    <w:right w:val="none" w:sz="0" w:space="0" w:color="auto"/>
                                  </w:divBdr>
                                </w:div>
                                <w:div w:id="346057418">
                                  <w:marLeft w:val="0"/>
                                  <w:marRight w:val="0"/>
                                  <w:marTop w:val="0"/>
                                  <w:marBottom w:val="0"/>
                                  <w:divBdr>
                                    <w:top w:val="none" w:sz="0" w:space="0" w:color="auto"/>
                                    <w:left w:val="none" w:sz="0" w:space="0" w:color="auto"/>
                                    <w:bottom w:val="none" w:sz="0" w:space="0" w:color="auto"/>
                                    <w:right w:val="none" w:sz="0" w:space="0" w:color="auto"/>
                                  </w:divBdr>
                                </w:div>
                                <w:div w:id="16277760">
                                  <w:marLeft w:val="0"/>
                                  <w:marRight w:val="0"/>
                                  <w:marTop w:val="0"/>
                                  <w:marBottom w:val="0"/>
                                  <w:divBdr>
                                    <w:top w:val="none" w:sz="0" w:space="0" w:color="auto"/>
                                    <w:left w:val="none" w:sz="0" w:space="0" w:color="auto"/>
                                    <w:bottom w:val="none" w:sz="0" w:space="0" w:color="auto"/>
                                    <w:right w:val="none" w:sz="0" w:space="0" w:color="auto"/>
                                  </w:divBdr>
                                </w:div>
                                <w:div w:id="1399863962">
                                  <w:marLeft w:val="0"/>
                                  <w:marRight w:val="0"/>
                                  <w:marTop w:val="0"/>
                                  <w:marBottom w:val="0"/>
                                  <w:divBdr>
                                    <w:top w:val="none" w:sz="0" w:space="0" w:color="auto"/>
                                    <w:left w:val="none" w:sz="0" w:space="0" w:color="auto"/>
                                    <w:bottom w:val="none" w:sz="0" w:space="0" w:color="auto"/>
                                    <w:right w:val="none" w:sz="0" w:space="0" w:color="auto"/>
                                  </w:divBdr>
                                </w:div>
                                <w:div w:id="1109546572">
                                  <w:marLeft w:val="0"/>
                                  <w:marRight w:val="0"/>
                                  <w:marTop w:val="0"/>
                                  <w:marBottom w:val="0"/>
                                  <w:divBdr>
                                    <w:top w:val="none" w:sz="0" w:space="0" w:color="auto"/>
                                    <w:left w:val="none" w:sz="0" w:space="0" w:color="auto"/>
                                    <w:bottom w:val="none" w:sz="0" w:space="0" w:color="auto"/>
                                    <w:right w:val="none" w:sz="0" w:space="0" w:color="auto"/>
                                  </w:divBdr>
                                </w:div>
                                <w:div w:id="862203910">
                                  <w:marLeft w:val="0"/>
                                  <w:marRight w:val="0"/>
                                  <w:marTop w:val="0"/>
                                  <w:marBottom w:val="0"/>
                                  <w:divBdr>
                                    <w:top w:val="none" w:sz="0" w:space="0" w:color="auto"/>
                                    <w:left w:val="none" w:sz="0" w:space="0" w:color="auto"/>
                                    <w:bottom w:val="none" w:sz="0" w:space="0" w:color="auto"/>
                                    <w:right w:val="none" w:sz="0" w:space="0" w:color="auto"/>
                                  </w:divBdr>
                                </w:div>
                                <w:div w:id="1646011518">
                                  <w:marLeft w:val="0"/>
                                  <w:marRight w:val="0"/>
                                  <w:marTop w:val="0"/>
                                  <w:marBottom w:val="0"/>
                                  <w:divBdr>
                                    <w:top w:val="none" w:sz="0" w:space="0" w:color="auto"/>
                                    <w:left w:val="none" w:sz="0" w:space="0" w:color="auto"/>
                                    <w:bottom w:val="none" w:sz="0" w:space="0" w:color="auto"/>
                                    <w:right w:val="none" w:sz="0" w:space="0" w:color="auto"/>
                                  </w:divBdr>
                                </w:div>
                                <w:div w:id="239875543">
                                  <w:marLeft w:val="0"/>
                                  <w:marRight w:val="0"/>
                                  <w:marTop w:val="0"/>
                                  <w:marBottom w:val="0"/>
                                  <w:divBdr>
                                    <w:top w:val="none" w:sz="0" w:space="0" w:color="auto"/>
                                    <w:left w:val="none" w:sz="0" w:space="0" w:color="auto"/>
                                    <w:bottom w:val="none" w:sz="0" w:space="0" w:color="auto"/>
                                    <w:right w:val="none" w:sz="0" w:space="0" w:color="auto"/>
                                  </w:divBdr>
                                </w:div>
                                <w:div w:id="556356093">
                                  <w:marLeft w:val="0"/>
                                  <w:marRight w:val="0"/>
                                  <w:marTop w:val="0"/>
                                  <w:marBottom w:val="0"/>
                                  <w:divBdr>
                                    <w:top w:val="none" w:sz="0" w:space="0" w:color="auto"/>
                                    <w:left w:val="none" w:sz="0" w:space="0" w:color="auto"/>
                                    <w:bottom w:val="none" w:sz="0" w:space="0" w:color="auto"/>
                                    <w:right w:val="none" w:sz="0" w:space="0" w:color="auto"/>
                                  </w:divBdr>
                                </w:div>
                                <w:div w:id="1961913497">
                                  <w:marLeft w:val="0"/>
                                  <w:marRight w:val="0"/>
                                  <w:marTop w:val="0"/>
                                  <w:marBottom w:val="0"/>
                                  <w:divBdr>
                                    <w:top w:val="none" w:sz="0" w:space="0" w:color="auto"/>
                                    <w:left w:val="none" w:sz="0" w:space="0" w:color="auto"/>
                                    <w:bottom w:val="none" w:sz="0" w:space="0" w:color="auto"/>
                                    <w:right w:val="none" w:sz="0" w:space="0" w:color="auto"/>
                                  </w:divBdr>
                                </w:div>
                                <w:div w:id="1124889225">
                                  <w:marLeft w:val="0"/>
                                  <w:marRight w:val="0"/>
                                  <w:marTop w:val="0"/>
                                  <w:marBottom w:val="0"/>
                                  <w:divBdr>
                                    <w:top w:val="none" w:sz="0" w:space="0" w:color="auto"/>
                                    <w:left w:val="none" w:sz="0" w:space="0" w:color="auto"/>
                                    <w:bottom w:val="none" w:sz="0" w:space="0" w:color="auto"/>
                                    <w:right w:val="none" w:sz="0" w:space="0" w:color="auto"/>
                                  </w:divBdr>
                                </w:div>
                                <w:div w:id="551043340">
                                  <w:marLeft w:val="0"/>
                                  <w:marRight w:val="0"/>
                                  <w:marTop w:val="0"/>
                                  <w:marBottom w:val="0"/>
                                  <w:divBdr>
                                    <w:top w:val="none" w:sz="0" w:space="0" w:color="auto"/>
                                    <w:left w:val="none" w:sz="0" w:space="0" w:color="auto"/>
                                    <w:bottom w:val="none" w:sz="0" w:space="0" w:color="auto"/>
                                    <w:right w:val="none" w:sz="0" w:space="0" w:color="auto"/>
                                  </w:divBdr>
                                </w:div>
                                <w:div w:id="79183553">
                                  <w:marLeft w:val="0"/>
                                  <w:marRight w:val="0"/>
                                  <w:marTop w:val="0"/>
                                  <w:marBottom w:val="0"/>
                                  <w:divBdr>
                                    <w:top w:val="none" w:sz="0" w:space="0" w:color="auto"/>
                                    <w:left w:val="none" w:sz="0" w:space="0" w:color="auto"/>
                                    <w:bottom w:val="none" w:sz="0" w:space="0" w:color="auto"/>
                                    <w:right w:val="none" w:sz="0" w:space="0" w:color="auto"/>
                                  </w:divBdr>
                                </w:div>
                                <w:div w:id="276067816">
                                  <w:marLeft w:val="0"/>
                                  <w:marRight w:val="0"/>
                                  <w:marTop w:val="0"/>
                                  <w:marBottom w:val="0"/>
                                  <w:divBdr>
                                    <w:top w:val="none" w:sz="0" w:space="0" w:color="auto"/>
                                    <w:left w:val="none" w:sz="0" w:space="0" w:color="auto"/>
                                    <w:bottom w:val="none" w:sz="0" w:space="0" w:color="auto"/>
                                    <w:right w:val="none" w:sz="0" w:space="0" w:color="auto"/>
                                  </w:divBdr>
                                </w:div>
                                <w:div w:id="1852983831">
                                  <w:marLeft w:val="0"/>
                                  <w:marRight w:val="0"/>
                                  <w:marTop w:val="0"/>
                                  <w:marBottom w:val="0"/>
                                  <w:divBdr>
                                    <w:top w:val="none" w:sz="0" w:space="0" w:color="auto"/>
                                    <w:left w:val="none" w:sz="0" w:space="0" w:color="auto"/>
                                    <w:bottom w:val="none" w:sz="0" w:space="0" w:color="auto"/>
                                    <w:right w:val="none" w:sz="0" w:space="0" w:color="auto"/>
                                  </w:divBdr>
                                </w:div>
                                <w:div w:id="1620994484">
                                  <w:marLeft w:val="0"/>
                                  <w:marRight w:val="0"/>
                                  <w:marTop w:val="0"/>
                                  <w:marBottom w:val="0"/>
                                  <w:divBdr>
                                    <w:top w:val="none" w:sz="0" w:space="0" w:color="auto"/>
                                    <w:left w:val="none" w:sz="0" w:space="0" w:color="auto"/>
                                    <w:bottom w:val="none" w:sz="0" w:space="0" w:color="auto"/>
                                    <w:right w:val="none" w:sz="0" w:space="0" w:color="auto"/>
                                  </w:divBdr>
                                </w:div>
                                <w:div w:id="1153717175">
                                  <w:marLeft w:val="0"/>
                                  <w:marRight w:val="0"/>
                                  <w:marTop w:val="0"/>
                                  <w:marBottom w:val="0"/>
                                  <w:divBdr>
                                    <w:top w:val="none" w:sz="0" w:space="0" w:color="auto"/>
                                    <w:left w:val="none" w:sz="0" w:space="0" w:color="auto"/>
                                    <w:bottom w:val="none" w:sz="0" w:space="0" w:color="auto"/>
                                    <w:right w:val="none" w:sz="0" w:space="0" w:color="auto"/>
                                  </w:divBdr>
                                </w:div>
                                <w:div w:id="791630483">
                                  <w:marLeft w:val="0"/>
                                  <w:marRight w:val="0"/>
                                  <w:marTop w:val="0"/>
                                  <w:marBottom w:val="0"/>
                                  <w:divBdr>
                                    <w:top w:val="none" w:sz="0" w:space="0" w:color="auto"/>
                                    <w:left w:val="none" w:sz="0" w:space="0" w:color="auto"/>
                                    <w:bottom w:val="none" w:sz="0" w:space="0" w:color="auto"/>
                                    <w:right w:val="none" w:sz="0" w:space="0" w:color="auto"/>
                                  </w:divBdr>
                                </w:div>
                              </w:divsChild>
                            </w:div>
                            <w:div w:id="2108109147">
                              <w:blockQuote w:val="1"/>
                              <w:marLeft w:val="720"/>
                              <w:marRight w:val="720"/>
                              <w:marTop w:val="100"/>
                              <w:marBottom w:val="100"/>
                              <w:divBdr>
                                <w:top w:val="none" w:sz="0" w:space="0" w:color="auto"/>
                                <w:left w:val="none" w:sz="0" w:space="0" w:color="auto"/>
                                <w:bottom w:val="none" w:sz="0" w:space="0" w:color="auto"/>
                                <w:right w:val="none" w:sz="0" w:space="0" w:color="auto"/>
                              </w:divBdr>
                            </w:div>
                            <w:div w:id="422915128">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194520">
                              <w:blockQuote w:val="1"/>
                              <w:marLeft w:val="720"/>
                              <w:marRight w:val="720"/>
                              <w:marTop w:val="100"/>
                              <w:marBottom w:val="100"/>
                              <w:divBdr>
                                <w:top w:val="none" w:sz="0" w:space="0" w:color="auto"/>
                                <w:left w:val="none" w:sz="0" w:space="0" w:color="auto"/>
                                <w:bottom w:val="none" w:sz="0" w:space="0" w:color="auto"/>
                                <w:right w:val="none" w:sz="0" w:space="0" w:color="auto"/>
                              </w:divBdr>
                            </w:div>
                            <w:div w:id="5477670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2532015">
                                  <w:marLeft w:val="0"/>
                                  <w:marRight w:val="0"/>
                                  <w:marTop w:val="0"/>
                                  <w:marBottom w:val="0"/>
                                  <w:divBdr>
                                    <w:top w:val="none" w:sz="0" w:space="0" w:color="auto"/>
                                    <w:left w:val="none" w:sz="0" w:space="0" w:color="auto"/>
                                    <w:bottom w:val="none" w:sz="0" w:space="0" w:color="auto"/>
                                    <w:right w:val="none" w:sz="0" w:space="0" w:color="auto"/>
                                  </w:divBdr>
                                </w:div>
                                <w:div w:id="1443961101">
                                  <w:marLeft w:val="0"/>
                                  <w:marRight w:val="0"/>
                                  <w:marTop w:val="0"/>
                                  <w:marBottom w:val="0"/>
                                  <w:divBdr>
                                    <w:top w:val="none" w:sz="0" w:space="0" w:color="auto"/>
                                    <w:left w:val="none" w:sz="0" w:space="0" w:color="auto"/>
                                    <w:bottom w:val="none" w:sz="0" w:space="0" w:color="auto"/>
                                    <w:right w:val="none" w:sz="0" w:space="0" w:color="auto"/>
                                  </w:divBdr>
                                </w:div>
                              </w:divsChild>
                            </w:div>
                            <w:div w:id="487091586">
                              <w:blockQuote w:val="1"/>
                              <w:marLeft w:val="720"/>
                              <w:marRight w:val="720"/>
                              <w:marTop w:val="100"/>
                              <w:marBottom w:val="100"/>
                              <w:divBdr>
                                <w:top w:val="none" w:sz="0" w:space="0" w:color="auto"/>
                                <w:left w:val="none" w:sz="0" w:space="0" w:color="auto"/>
                                <w:bottom w:val="none" w:sz="0" w:space="0" w:color="auto"/>
                                <w:right w:val="none" w:sz="0" w:space="0" w:color="auto"/>
                              </w:divBdr>
                            </w:div>
                            <w:div w:id="12789474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22148135">
                              <w:blockQuote w:val="1"/>
                              <w:marLeft w:val="720"/>
                              <w:marRight w:val="720"/>
                              <w:marTop w:val="100"/>
                              <w:marBottom w:val="100"/>
                              <w:divBdr>
                                <w:top w:val="none" w:sz="0" w:space="0" w:color="auto"/>
                                <w:left w:val="none" w:sz="0" w:space="0" w:color="auto"/>
                                <w:bottom w:val="none" w:sz="0" w:space="0" w:color="auto"/>
                                <w:right w:val="none" w:sz="0" w:space="0" w:color="auto"/>
                              </w:divBdr>
                            </w:div>
                            <w:div w:id="6287097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0821665">
                                  <w:blockQuote w:val="1"/>
                                  <w:marLeft w:val="720"/>
                                  <w:marRight w:val="720"/>
                                  <w:marTop w:val="100"/>
                                  <w:marBottom w:val="100"/>
                                  <w:divBdr>
                                    <w:top w:val="none" w:sz="0" w:space="0" w:color="auto"/>
                                    <w:left w:val="none" w:sz="0" w:space="0" w:color="auto"/>
                                    <w:bottom w:val="none" w:sz="0" w:space="0" w:color="auto"/>
                                    <w:right w:val="none" w:sz="0" w:space="0" w:color="auto"/>
                                  </w:divBdr>
                                </w:div>
                                <w:div w:id="7671953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40743344">
                              <w:blockQuote w:val="1"/>
                              <w:marLeft w:val="720"/>
                              <w:marRight w:val="720"/>
                              <w:marTop w:val="100"/>
                              <w:marBottom w:val="100"/>
                              <w:divBdr>
                                <w:top w:val="none" w:sz="0" w:space="0" w:color="auto"/>
                                <w:left w:val="none" w:sz="0" w:space="0" w:color="auto"/>
                                <w:bottom w:val="none" w:sz="0" w:space="0" w:color="auto"/>
                                <w:right w:val="none" w:sz="0" w:space="0" w:color="auto"/>
                              </w:divBdr>
                            </w:div>
                            <w:div w:id="1968009090">
                              <w:blockQuote w:val="1"/>
                              <w:marLeft w:val="720"/>
                              <w:marRight w:val="720"/>
                              <w:marTop w:val="100"/>
                              <w:marBottom w:val="100"/>
                              <w:divBdr>
                                <w:top w:val="none" w:sz="0" w:space="0" w:color="auto"/>
                                <w:left w:val="none" w:sz="0" w:space="0" w:color="auto"/>
                                <w:bottom w:val="none" w:sz="0" w:space="0" w:color="auto"/>
                                <w:right w:val="none" w:sz="0" w:space="0" w:color="auto"/>
                              </w:divBdr>
                            </w:div>
                            <w:div w:id="1862817747">
                              <w:marLeft w:val="0"/>
                              <w:marRight w:val="0"/>
                              <w:marTop w:val="0"/>
                              <w:marBottom w:val="0"/>
                              <w:divBdr>
                                <w:top w:val="none" w:sz="0" w:space="0" w:color="auto"/>
                                <w:left w:val="none" w:sz="0" w:space="0" w:color="auto"/>
                                <w:bottom w:val="none" w:sz="0" w:space="0" w:color="auto"/>
                                <w:right w:val="none" w:sz="0" w:space="0" w:color="auto"/>
                              </w:divBdr>
                            </w:div>
                            <w:div w:id="1262451018">
                              <w:marLeft w:val="0"/>
                              <w:marRight w:val="0"/>
                              <w:marTop w:val="0"/>
                              <w:marBottom w:val="0"/>
                              <w:divBdr>
                                <w:top w:val="none" w:sz="0" w:space="0" w:color="auto"/>
                                <w:left w:val="none" w:sz="0" w:space="0" w:color="auto"/>
                                <w:bottom w:val="none" w:sz="0" w:space="0" w:color="auto"/>
                                <w:right w:val="none" w:sz="0" w:space="0" w:color="auto"/>
                              </w:divBdr>
                            </w:div>
                            <w:div w:id="757487523">
                              <w:marLeft w:val="0"/>
                              <w:marRight w:val="0"/>
                              <w:marTop w:val="0"/>
                              <w:marBottom w:val="0"/>
                              <w:divBdr>
                                <w:top w:val="none" w:sz="0" w:space="0" w:color="auto"/>
                                <w:left w:val="none" w:sz="0" w:space="0" w:color="auto"/>
                                <w:bottom w:val="none" w:sz="0" w:space="0" w:color="auto"/>
                                <w:right w:val="none" w:sz="0" w:space="0" w:color="auto"/>
                              </w:divBdr>
                            </w:div>
                            <w:div w:id="633409980">
                              <w:marLeft w:val="0"/>
                              <w:marRight w:val="0"/>
                              <w:marTop w:val="0"/>
                              <w:marBottom w:val="0"/>
                              <w:divBdr>
                                <w:top w:val="none" w:sz="0" w:space="0" w:color="auto"/>
                                <w:left w:val="none" w:sz="0" w:space="0" w:color="auto"/>
                                <w:bottom w:val="none" w:sz="0" w:space="0" w:color="auto"/>
                                <w:right w:val="none" w:sz="0" w:space="0" w:color="auto"/>
                              </w:divBdr>
                            </w:div>
                            <w:div w:id="1522011095">
                              <w:blockQuote w:val="1"/>
                              <w:marLeft w:val="720"/>
                              <w:marRight w:val="720"/>
                              <w:marTop w:val="100"/>
                              <w:marBottom w:val="100"/>
                              <w:divBdr>
                                <w:top w:val="none" w:sz="0" w:space="0" w:color="auto"/>
                                <w:left w:val="none" w:sz="0" w:space="0" w:color="auto"/>
                                <w:bottom w:val="none" w:sz="0" w:space="0" w:color="auto"/>
                                <w:right w:val="none" w:sz="0" w:space="0" w:color="auto"/>
                              </w:divBdr>
                            </w:div>
                            <w:div w:id="1071003075">
                              <w:blockQuote w:val="1"/>
                              <w:marLeft w:val="720"/>
                              <w:marRight w:val="720"/>
                              <w:marTop w:val="100"/>
                              <w:marBottom w:val="100"/>
                              <w:divBdr>
                                <w:top w:val="none" w:sz="0" w:space="0" w:color="auto"/>
                                <w:left w:val="none" w:sz="0" w:space="0" w:color="auto"/>
                                <w:bottom w:val="none" w:sz="0" w:space="0" w:color="auto"/>
                                <w:right w:val="none" w:sz="0" w:space="0" w:color="auto"/>
                              </w:divBdr>
                            </w:div>
                            <w:div w:id="2142457870">
                              <w:blockQuote w:val="1"/>
                              <w:marLeft w:val="720"/>
                              <w:marRight w:val="720"/>
                              <w:marTop w:val="100"/>
                              <w:marBottom w:val="100"/>
                              <w:divBdr>
                                <w:top w:val="none" w:sz="0" w:space="0" w:color="auto"/>
                                <w:left w:val="none" w:sz="0" w:space="0" w:color="auto"/>
                                <w:bottom w:val="none" w:sz="0" w:space="0" w:color="auto"/>
                                <w:right w:val="none" w:sz="0" w:space="0" w:color="auto"/>
                              </w:divBdr>
                            </w:div>
                            <w:div w:id="93659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262886956">
                              <w:blockQuote w:val="1"/>
                              <w:marLeft w:val="720"/>
                              <w:marRight w:val="720"/>
                              <w:marTop w:val="100"/>
                              <w:marBottom w:val="100"/>
                              <w:divBdr>
                                <w:top w:val="none" w:sz="0" w:space="0" w:color="auto"/>
                                <w:left w:val="none" w:sz="0" w:space="0" w:color="auto"/>
                                <w:bottom w:val="none" w:sz="0" w:space="0" w:color="auto"/>
                                <w:right w:val="none" w:sz="0" w:space="0" w:color="auto"/>
                              </w:divBdr>
                            </w:div>
                            <w:div w:id="1750925396">
                              <w:blockQuote w:val="1"/>
                              <w:marLeft w:val="720"/>
                              <w:marRight w:val="720"/>
                              <w:marTop w:val="100"/>
                              <w:marBottom w:val="100"/>
                              <w:divBdr>
                                <w:top w:val="none" w:sz="0" w:space="0" w:color="auto"/>
                                <w:left w:val="none" w:sz="0" w:space="0" w:color="auto"/>
                                <w:bottom w:val="none" w:sz="0" w:space="0" w:color="auto"/>
                                <w:right w:val="none" w:sz="0" w:space="0" w:color="auto"/>
                              </w:divBdr>
                            </w:div>
                            <w:div w:id="687222225">
                              <w:blockQuote w:val="1"/>
                              <w:marLeft w:val="720"/>
                              <w:marRight w:val="720"/>
                              <w:marTop w:val="100"/>
                              <w:marBottom w:val="100"/>
                              <w:divBdr>
                                <w:top w:val="none" w:sz="0" w:space="0" w:color="auto"/>
                                <w:left w:val="none" w:sz="0" w:space="0" w:color="auto"/>
                                <w:bottom w:val="none" w:sz="0" w:space="0" w:color="auto"/>
                                <w:right w:val="none" w:sz="0" w:space="0" w:color="auto"/>
                              </w:divBdr>
                            </w:div>
                            <w:div w:id="1295016043">
                              <w:blockQuote w:val="1"/>
                              <w:marLeft w:val="720"/>
                              <w:marRight w:val="720"/>
                              <w:marTop w:val="100"/>
                              <w:marBottom w:val="100"/>
                              <w:divBdr>
                                <w:top w:val="none" w:sz="0" w:space="0" w:color="auto"/>
                                <w:left w:val="none" w:sz="0" w:space="0" w:color="auto"/>
                                <w:bottom w:val="none" w:sz="0" w:space="0" w:color="auto"/>
                                <w:right w:val="none" w:sz="0" w:space="0" w:color="auto"/>
                              </w:divBdr>
                            </w:div>
                            <w:div w:id="203449229">
                              <w:blockQuote w:val="1"/>
                              <w:marLeft w:val="720"/>
                              <w:marRight w:val="720"/>
                              <w:marTop w:val="100"/>
                              <w:marBottom w:val="100"/>
                              <w:divBdr>
                                <w:top w:val="none" w:sz="0" w:space="0" w:color="auto"/>
                                <w:left w:val="none" w:sz="0" w:space="0" w:color="auto"/>
                                <w:bottom w:val="none" w:sz="0" w:space="0" w:color="auto"/>
                                <w:right w:val="none" w:sz="0" w:space="0" w:color="auto"/>
                              </w:divBdr>
                            </w:div>
                            <w:div w:id="1049181229">
                              <w:blockQuote w:val="1"/>
                              <w:marLeft w:val="720"/>
                              <w:marRight w:val="720"/>
                              <w:marTop w:val="100"/>
                              <w:marBottom w:val="100"/>
                              <w:divBdr>
                                <w:top w:val="none" w:sz="0" w:space="0" w:color="auto"/>
                                <w:left w:val="none" w:sz="0" w:space="0" w:color="auto"/>
                                <w:bottom w:val="none" w:sz="0" w:space="0" w:color="auto"/>
                                <w:right w:val="none" w:sz="0" w:space="0" w:color="auto"/>
                              </w:divBdr>
                            </w:div>
                            <w:div w:id="754520405">
                              <w:blockQuote w:val="1"/>
                              <w:marLeft w:val="720"/>
                              <w:marRight w:val="720"/>
                              <w:marTop w:val="100"/>
                              <w:marBottom w:val="100"/>
                              <w:divBdr>
                                <w:top w:val="none" w:sz="0" w:space="0" w:color="auto"/>
                                <w:left w:val="none" w:sz="0" w:space="0" w:color="auto"/>
                                <w:bottom w:val="none" w:sz="0" w:space="0" w:color="auto"/>
                                <w:right w:val="none" w:sz="0" w:space="0" w:color="auto"/>
                              </w:divBdr>
                            </w:div>
                            <w:div w:id="1764377867">
                              <w:blockQuote w:val="1"/>
                              <w:marLeft w:val="720"/>
                              <w:marRight w:val="720"/>
                              <w:marTop w:val="100"/>
                              <w:marBottom w:val="100"/>
                              <w:divBdr>
                                <w:top w:val="none" w:sz="0" w:space="0" w:color="auto"/>
                                <w:left w:val="none" w:sz="0" w:space="0" w:color="auto"/>
                                <w:bottom w:val="none" w:sz="0" w:space="0" w:color="auto"/>
                                <w:right w:val="none" w:sz="0" w:space="0" w:color="auto"/>
                              </w:divBdr>
                            </w:div>
                            <w:div w:id="1627468379">
                              <w:blockQuote w:val="1"/>
                              <w:marLeft w:val="720"/>
                              <w:marRight w:val="720"/>
                              <w:marTop w:val="100"/>
                              <w:marBottom w:val="100"/>
                              <w:divBdr>
                                <w:top w:val="none" w:sz="0" w:space="0" w:color="auto"/>
                                <w:left w:val="none" w:sz="0" w:space="0" w:color="auto"/>
                                <w:bottom w:val="none" w:sz="0" w:space="0" w:color="auto"/>
                                <w:right w:val="none" w:sz="0" w:space="0" w:color="auto"/>
                              </w:divBdr>
                            </w:div>
                            <w:div w:id="1868829848">
                              <w:blockQuote w:val="1"/>
                              <w:marLeft w:val="720"/>
                              <w:marRight w:val="720"/>
                              <w:marTop w:val="100"/>
                              <w:marBottom w:val="100"/>
                              <w:divBdr>
                                <w:top w:val="none" w:sz="0" w:space="0" w:color="auto"/>
                                <w:left w:val="none" w:sz="0" w:space="0" w:color="auto"/>
                                <w:bottom w:val="none" w:sz="0" w:space="0" w:color="auto"/>
                                <w:right w:val="none" w:sz="0" w:space="0" w:color="auto"/>
                              </w:divBdr>
                            </w:div>
                            <w:div w:id="615216314">
                              <w:blockQuote w:val="1"/>
                              <w:marLeft w:val="720"/>
                              <w:marRight w:val="720"/>
                              <w:marTop w:val="100"/>
                              <w:marBottom w:val="100"/>
                              <w:divBdr>
                                <w:top w:val="none" w:sz="0" w:space="0" w:color="auto"/>
                                <w:left w:val="none" w:sz="0" w:space="0" w:color="auto"/>
                                <w:bottom w:val="none" w:sz="0" w:space="0" w:color="auto"/>
                                <w:right w:val="none" w:sz="0" w:space="0" w:color="auto"/>
                              </w:divBdr>
                            </w:div>
                            <w:div w:id="887835188">
                              <w:blockQuote w:val="1"/>
                              <w:marLeft w:val="720"/>
                              <w:marRight w:val="720"/>
                              <w:marTop w:val="100"/>
                              <w:marBottom w:val="100"/>
                              <w:divBdr>
                                <w:top w:val="none" w:sz="0" w:space="0" w:color="auto"/>
                                <w:left w:val="none" w:sz="0" w:space="0" w:color="auto"/>
                                <w:bottom w:val="none" w:sz="0" w:space="0" w:color="auto"/>
                                <w:right w:val="none" w:sz="0" w:space="0" w:color="auto"/>
                              </w:divBdr>
                            </w:div>
                            <w:div w:id="1523476546">
                              <w:blockQuote w:val="1"/>
                              <w:marLeft w:val="720"/>
                              <w:marRight w:val="720"/>
                              <w:marTop w:val="100"/>
                              <w:marBottom w:val="100"/>
                              <w:divBdr>
                                <w:top w:val="none" w:sz="0" w:space="0" w:color="auto"/>
                                <w:left w:val="none" w:sz="0" w:space="0" w:color="auto"/>
                                <w:bottom w:val="none" w:sz="0" w:space="0" w:color="auto"/>
                                <w:right w:val="none" w:sz="0" w:space="0" w:color="auto"/>
                              </w:divBdr>
                            </w:div>
                            <w:div w:id="13142914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3184586">
                                  <w:marLeft w:val="0"/>
                                  <w:marRight w:val="0"/>
                                  <w:marTop w:val="0"/>
                                  <w:marBottom w:val="0"/>
                                  <w:divBdr>
                                    <w:top w:val="none" w:sz="0" w:space="0" w:color="auto"/>
                                    <w:left w:val="none" w:sz="0" w:space="0" w:color="auto"/>
                                    <w:bottom w:val="none" w:sz="0" w:space="0" w:color="auto"/>
                                    <w:right w:val="none" w:sz="0" w:space="0" w:color="auto"/>
                                  </w:divBdr>
                                </w:div>
                                <w:div w:id="878124880">
                                  <w:marLeft w:val="0"/>
                                  <w:marRight w:val="0"/>
                                  <w:marTop w:val="0"/>
                                  <w:marBottom w:val="0"/>
                                  <w:divBdr>
                                    <w:top w:val="none" w:sz="0" w:space="0" w:color="auto"/>
                                    <w:left w:val="none" w:sz="0" w:space="0" w:color="auto"/>
                                    <w:bottom w:val="none" w:sz="0" w:space="0" w:color="auto"/>
                                    <w:right w:val="none" w:sz="0" w:space="0" w:color="auto"/>
                                  </w:divBdr>
                                </w:div>
                                <w:div w:id="1360661458">
                                  <w:marLeft w:val="0"/>
                                  <w:marRight w:val="0"/>
                                  <w:marTop w:val="0"/>
                                  <w:marBottom w:val="0"/>
                                  <w:divBdr>
                                    <w:top w:val="none" w:sz="0" w:space="0" w:color="auto"/>
                                    <w:left w:val="none" w:sz="0" w:space="0" w:color="auto"/>
                                    <w:bottom w:val="none" w:sz="0" w:space="0" w:color="auto"/>
                                    <w:right w:val="none" w:sz="0" w:space="0" w:color="auto"/>
                                  </w:divBdr>
                                </w:div>
                                <w:div w:id="1875655241">
                                  <w:marLeft w:val="0"/>
                                  <w:marRight w:val="0"/>
                                  <w:marTop w:val="0"/>
                                  <w:marBottom w:val="0"/>
                                  <w:divBdr>
                                    <w:top w:val="none" w:sz="0" w:space="0" w:color="auto"/>
                                    <w:left w:val="none" w:sz="0" w:space="0" w:color="auto"/>
                                    <w:bottom w:val="none" w:sz="0" w:space="0" w:color="auto"/>
                                    <w:right w:val="none" w:sz="0" w:space="0" w:color="auto"/>
                                  </w:divBdr>
                                </w:div>
                                <w:div w:id="399139892">
                                  <w:marLeft w:val="0"/>
                                  <w:marRight w:val="0"/>
                                  <w:marTop w:val="0"/>
                                  <w:marBottom w:val="0"/>
                                  <w:divBdr>
                                    <w:top w:val="none" w:sz="0" w:space="0" w:color="auto"/>
                                    <w:left w:val="none" w:sz="0" w:space="0" w:color="auto"/>
                                    <w:bottom w:val="none" w:sz="0" w:space="0" w:color="auto"/>
                                    <w:right w:val="none" w:sz="0" w:space="0" w:color="auto"/>
                                  </w:divBdr>
                                </w:div>
                                <w:div w:id="1455754678">
                                  <w:marLeft w:val="0"/>
                                  <w:marRight w:val="0"/>
                                  <w:marTop w:val="0"/>
                                  <w:marBottom w:val="0"/>
                                  <w:divBdr>
                                    <w:top w:val="none" w:sz="0" w:space="0" w:color="auto"/>
                                    <w:left w:val="none" w:sz="0" w:space="0" w:color="auto"/>
                                    <w:bottom w:val="none" w:sz="0" w:space="0" w:color="auto"/>
                                    <w:right w:val="none" w:sz="0" w:space="0" w:color="auto"/>
                                  </w:divBdr>
                                </w:div>
                                <w:div w:id="373777826">
                                  <w:marLeft w:val="0"/>
                                  <w:marRight w:val="0"/>
                                  <w:marTop w:val="0"/>
                                  <w:marBottom w:val="0"/>
                                  <w:divBdr>
                                    <w:top w:val="none" w:sz="0" w:space="0" w:color="auto"/>
                                    <w:left w:val="none" w:sz="0" w:space="0" w:color="auto"/>
                                    <w:bottom w:val="none" w:sz="0" w:space="0" w:color="auto"/>
                                    <w:right w:val="none" w:sz="0" w:space="0" w:color="auto"/>
                                  </w:divBdr>
                                </w:div>
                                <w:div w:id="232858522">
                                  <w:marLeft w:val="0"/>
                                  <w:marRight w:val="0"/>
                                  <w:marTop w:val="0"/>
                                  <w:marBottom w:val="0"/>
                                  <w:divBdr>
                                    <w:top w:val="none" w:sz="0" w:space="0" w:color="auto"/>
                                    <w:left w:val="none" w:sz="0" w:space="0" w:color="auto"/>
                                    <w:bottom w:val="none" w:sz="0" w:space="0" w:color="auto"/>
                                    <w:right w:val="none" w:sz="0" w:space="0" w:color="auto"/>
                                  </w:divBdr>
                                </w:div>
                                <w:div w:id="1660619286">
                                  <w:marLeft w:val="0"/>
                                  <w:marRight w:val="0"/>
                                  <w:marTop w:val="0"/>
                                  <w:marBottom w:val="0"/>
                                  <w:divBdr>
                                    <w:top w:val="none" w:sz="0" w:space="0" w:color="auto"/>
                                    <w:left w:val="none" w:sz="0" w:space="0" w:color="auto"/>
                                    <w:bottom w:val="none" w:sz="0" w:space="0" w:color="auto"/>
                                    <w:right w:val="none" w:sz="0" w:space="0" w:color="auto"/>
                                  </w:divBdr>
                                </w:div>
                              </w:divsChild>
                            </w:div>
                            <w:div w:id="3636788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1497578">
                                  <w:marLeft w:val="0"/>
                                  <w:marRight w:val="0"/>
                                  <w:marTop w:val="0"/>
                                  <w:marBottom w:val="0"/>
                                  <w:divBdr>
                                    <w:top w:val="none" w:sz="0" w:space="0" w:color="auto"/>
                                    <w:left w:val="none" w:sz="0" w:space="0" w:color="auto"/>
                                    <w:bottom w:val="none" w:sz="0" w:space="0" w:color="auto"/>
                                    <w:right w:val="none" w:sz="0" w:space="0" w:color="auto"/>
                                  </w:divBdr>
                                </w:div>
                                <w:div w:id="1801338204">
                                  <w:marLeft w:val="0"/>
                                  <w:marRight w:val="0"/>
                                  <w:marTop w:val="0"/>
                                  <w:marBottom w:val="0"/>
                                  <w:divBdr>
                                    <w:top w:val="none" w:sz="0" w:space="0" w:color="auto"/>
                                    <w:left w:val="none" w:sz="0" w:space="0" w:color="auto"/>
                                    <w:bottom w:val="none" w:sz="0" w:space="0" w:color="auto"/>
                                    <w:right w:val="none" w:sz="0" w:space="0" w:color="auto"/>
                                  </w:divBdr>
                                </w:div>
                                <w:div w:id="287050794">
                                  <w:marLeft w:val="0"/>
                                  <w:marRight w:val="0"/>
                                  <w:marTop w:val="0"/>
                                  <w:marBottom w:val="0"/>
                                  <w:divBdr>
                                    <w:top w:val="none" w:sz="0" w:space="0" w:color="auto"/>
                                    <w:left w:val="none" w:sz="0" w:space="0" w:color="auto"/>
                                    <w:bottom w:val="none" w:sz="0" w:space="0" w:color="auto"/>
                                    <w:right w:val="none" w:sz="0" w:space="0" w:color="auto"/>
                                  </w:divBdr>
                                </w:div>
                                <w:div w:id="889806611">
                                  <w:marLeft w:val="0"/>
                                  <w:marRight w:val="0"/>
                                  <w:marTop w:val="0"/>
                                  <w:marBottom w:val="0"/>
                                  <w:divBdr>
                                    <w:top w:val="none" w:sz="0" w:space="0" w:color="auto"/>
                                    <w:left w:val="none" w:sz="0" w:space="0" w:color="auto"/>
                                    <w:bottom w:val="none" w:sz="0" w:space="0" w:color="auto"/>
                                    <w:right w:val="none" w:sz="0" w:space="0" w:color="auto"/>
                                  </w:divBdr>
                                </w:div>
                                <w:div w:id="2102751819">
                                  <w:marLeft w:val="0"/>
                                  <w:marRight w:val="0"/>
                                  <w:marTop w:val="0"/>
                                  <w:marBottom w:val="0"/>
                                  <w:divBdr>
                                    <w:top w:val="none" w:sz="0" w:space="0" w:color="auto"/>
                                    <w:left w:val="none" w:sz="0" w:space="0" w:color="auto"/>
                                    <w:bottom w:val="none" w:sz="0" w:space="0" w:color="auto"/>
                                    <w:right w:val="none" w:sz="0" w:space="0" w:color="auto"/>
                                  </w:divBdr>
                                </w:div>
                                <w:div w:id="1171215567">
                                  <w:marLeft w:val="0"/>
                                  <w:marRight w:val="0"/>
                                  <w:marTop w:val="0"/>
                                  <w:marBottom w:val="0"/>
                                  <w:divBdr>
                                    <w:top w:val="none" w:sz="0" w:space="0" w:color="auto"/>
                                    <w:left w:val="none" w:sz="0" w:space="0" w:color="auto"/>
                                    <w:bottom w:val="none" w:sz="0" w:space="0" w:color="auto"/>
                                    <w:right w:val="none" w:sz="0" w:space="0" w:color="auto"/>
                                  </w:divBdr>
                                </w:div>
                              </w:divsChild>
                            </w:div>
                            <w:div w:id="3961753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026950016">
              <w:marLeft w:val="0"/>
              <w:marRight w:val="0"/>
              <w:marTop w:val="0"/>
              <w:marBottom w:val="0"/>
              <w:divBdr>
                <w:top w:val="none" w:sz="0" w:space="0" w:color="auto"/>
                <w:left w:val="none" w:sz="0" w:space="0" w:color="auto"/>
                <w:bottom w:val="none" w:sz="0" w:space="0" w:color="auto"/>
                <w:right w:val="none" w:sz="0" w:space="0" w:color="auto"/>
              </w:divBdr>
              <w:divsChild>
                <w:div w:id="118034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http:/www.nea.gov.ph/nea-ec-legal-conclave?download=1510%3Adoe-circular-no.-dc-2015-06-000-mandating-all-dus-to-undergo-competitive-selection-process-in-securing-psa" TargetMode="External"/><Relationship Id="rId3" Type="http://schemas.openxmlformats.org/officeDocument/2006/relationships/settings" Target="settings.xml"/><Relationship Id="rId7" Type="http://schemas.openxmlformats.org/officeDocument/2006/relationships/hyperlink" Target="http://https:/www.analysisgroup.com/uploadedfiles/content/insights/publishing/competitive_procurement.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http:/hdl.handle.net/10986/2346" TargetMode="External"/><Relationship Id="rId11" Type="http://schemas.openxmlformats.org/officeDocument/2006/relationships/fontTable" Target="fontTable.xml"/><Relationship Id="rId5" Type="http://schemas.openxmlformats.org/officeDocument/2006/relationships/hyperlink" Target="http://https:/www.irena.org/documentdownloads/publications/irena_renewable_energy_auctions_in_developing_countries.pdf" TargetMode="External"/><Relationship Id="rId10" Type="http://schemas.openxmlformats.org/officeDocument/2006/relationships/hyperlink" Target="http://http:/erc.gov.ph/ContentPage/51514" TargetMode="External"/><Relationship Id="rId4" Type="http://schemas.openxmlformats.org/officeDocument/2006/relationships/webSettings" Target="webSettings.xml"/><Relationship Id="rId9" Type="http://schemas.openxmlformats.org/officeDocument/2006/relationships/hyperlink" Target="http://http:/www.erc.gov.ph/ContentPage/515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83</Pages>
  <Words>35745</Words>
  <Characters>203753</Characters>
  <Application>Microsoft Office Word</Application>
  <DocSecurity>0</DocSecurity>
  <Lines>1697</Lines>
  <Paragraphs>478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JABBULAO</dc:creator>
  <cp:keywords/>
  <dc:description/>
  <cp:lastModifiedBy>JABBULAO</cp:lastModifiedBy>
  <cp:revision>2</cp:revision>
  <dcterms:created xsi:type="dcterms:W3CDTF">2019-06-16T11:33:00Z</dcterms:created>
  <dcterms:modified xsi:type="dcterms:W3CDTF">2019-06-16T11:33:00Z</dcterms:modified>
</cp:coreProperties>
</file>